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bl>
      <w:tblPr>
        <w:tblStyle w:val="Table1"/>
        <w:tblpPr w:leftFromText="141" w:rightFromText="141" w:topFromText="0" w:bottomFromText="0" w:vertAnchor="text" w:horzAnchor="text" w:tblpX="0" w:tblpY="1"/>
        <w:tblW w:w="12944.0" w:type="dxa"/>
        <w:jc w:val="left"/>
        <w:tblBorders>
          <w:top w:color="4f81bd" w:space="0" w:sz="6" w:val="single"/>
          <w:left w:color="4f81bd" w:space="0" w:sz="6" w:val="single"/>
          <w:bottom w:color="4f81bd" w:space="0" w:sz="6" w:val="single"/>
          <w:right w:color="4f81bd" w:space="0" w:sz="6" w:val="single"/>
          <w:insideH w:color="4f81bd" w:space="0" w:sz="6" w:val="single"/>
          <w:insideV w:color="4f81bd" w:space="0" w:sz="6" w:val="single"/>
        </w:tblBorders>
        <w:tblLayout w:type="fixed"/>
        <w:tblLook w:val="0400"/>
      </w:tblPr>
      <w:tblGrid>
        <w:gridCol w:w="749"/>
        <w:gridCol w:w="1218"/>
        <w:gridCol w:w="1885"/>
        <w:gridCol w:w="6668"/>
        <w:gridCol w:w="1139"/>
        <w:gridCol w:w="1285"/>
        <w:tblGridChange w:id="0">
          <w:tblGrid>
            <w:gridCol w:w="749"/>
            <w:gridCol w:w="1218"/>
            <w:gridCol w:w="1885"/>
            <w:gridCol w:w="6668"/>
            <w:gridCol w:w="1139"/>
            <w:gridCol w:w="1285"/>
          </w:tblGrid>
        </w:tblGridChange>
      </w:tblGrid>
      <w:tr>
        <w:trPr>
          <w:cantSplit w:val="0"/>
          <w:trHeight w:val="567" w:hRule="atLeast"/>
          <w:tblHeader w:val="0"/>
        </w:trPr>
        <w:tc>
          <w:tcPr>
            <w:gridSpan w:val="6"/>
            <w:shd w:fill="c6d9f1" w:val="clear"/>
          </w:tcPr>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spacing w:before="0" w:lineRule="auto"/>
              <w:jc w:val="center"/>
              <w:rPr/>
            </w:pPr>
            <w:bookmarkStart w:colFirst="0" w:colLast="0" w:name="_yhgo21uyzmg2" w:id="0"/>
            <w:bookmarkEnd w:id="0"/>
            <w:r w:rsidDel="00000000" w:rsidR="00000000" w:rsidRPr="00000000">
              <w:rPr>
                <w:b w:val="1"/>
                <w:bCs w:val="1"/>
                <w:color w:val="000000"/>
                <w:sz w:val="28"/>
                <w:szCs w:val="28"/>
                <w:rtl w:val="0"/>
              </w:rPr>
              <w:t xml:space="preserve">Schema unico delle circolari ReGiS</w:t>
            </w:r>
            <w:r w:rsidDel="00000000" w:rsidR="00000000" w:rsidRPr="00000000">
              <w:rPr>
                <w:rtl w:val="0"/>
              </w:rPr>
            </w:r>
          </w:p>
        </w:tc>
      </w:tr>
      <w:tr>
        <w:trPr>
          <w:cantSplit w:val="0"/>
          <w:trHeight w:val="904" w:hRule="atLeast"/>
          <w:tblHeader w:val="0"/>
        </w:trPr>
        <w:tc>
          <w:tcPr>
            <w:vMerge w:val="restart"/>
          </w:tcPr>
          <w:p w:rsidR="00000000" w:rsidDel="00000000" w:rsidP="00000000" w:rsidRDefault="00000000" w:rsidRPr="00000000" w14:paraId="00000008">
            <w:pPr>
              <w:spacing w:before="0" w:lineRule="auto"/>
              <w:rPr>
                <w:rFonts w:ascii="Arial" w:cs="Arial" w:eastAsia="Arial" w:hAnsi="Arial"/>
                <w:b w:val="1"/>
                <w:bCs w:val="1"/>
                <w:color w:val="374151"/>
                <w:sz w:val="21"/>
                <w:szCs w:val="21"/>
              </w:rPr>
            </w:pPr>
            <w:r w:rsidDel="00000000" w:rsidR="00000000" w:rsidRPr="00000000">
              <w:rPr>
                <w:rFonts w:ascii="Arial" w:cs="Arial" w:eastAsia="Arial" w:hAnsi="Arial"/>
                <w:b w:val="1"/>
                <w:bCs w:val="1"/>
                <w:color w:val="374151"/>
                <w:sz w:val="21"/>
                <w:szCs w:val="21"/>
                <w:rtl w:val="0"/>
              </w:rPr>
              <w:t xml:space="preserve">2025</w:t>
            </w:r>
          </w:p>
        </w:tc>
        <w:tc>
          <w:tcPr/>
          <w:p w:rsidR="00000000" w:rsidDel="00000000" w:rsidP="00000000" w:rsidRDefault="00000000" w:rsidRPr="00000000" w14:paraId="00000009">
            <w:pPr>
              <w:spacing w:before="0" w:lineRule="auto"/>
              <w:rPr>
                <w:color w:val="0000ff"/>
                <w:u w:val="single"/>
              </w:rPr>
            </w:pPr>
            <w:hyperlink r:id="rId6">
              <w:r w:rsidDel="00000000" w:rsidR="00000000" w:rsidRPr="00000000">
                <w:rPr>
                  <w:color w:val="1155cc"/>
                  <w:u w:val="single"/>
                  <w:rtl w:val="0"/>
                </w:rPr>
                <w:t xml:space="preserve">19 settembre 2025 n. 22</w:t>
              </w:r>
            </w:hyperlink>
            <w:r w:rsidDel="00000000" w:rsidR="00000000" w:rsidRPr="00000000">
              <w:rPr>
                <w:rtl w:val="0"/>
              </w:rPr>
            </w:r>
          </w:p>
        </w:tc>
        <w:tc>
          <w:tcPr/>
          <w:p w:rsidR="00000000" w:rsidDel="00000000" w:rsidP="00000000" w:rsidRDefault="00000000" w:rsidRPr="00000000" w14:paraId="0000000A">
            <w:pPr>
              <w:pStyle w:val="Heading3"/>
              <w:keepNext w:val="0"/>
              <w:keepLines w:val="0"/>
              <w:shd w:fill="ffffff" w:val="clear"/>
              <w:spacing w:after="360" w:before="360" w:line="288" w:lineRule="auto"/>
              <w:rPr>
                <w:rFonts w:ascii="Helvetica Neue" w:cs="Helvetica Neue" w:eastAsia="Helvetica Neue" w:hAnsi="Helvetica Neue"/>
                <w:b w:val="0"/>
                <w:bCs w:val="0"/>
                <w:color w:val="1a1a1a"/>
                <w:sz w:val="22"/>
                <w:szCs w:val="22"/>
              </w:rPr>
            </w:pPr>
            <w:bookmarkStart w:colFirst="0" w:colLast="0" w:name="_39shjohpx9fu" w:id="1"/>
            <w:bookmarkEnd w:id="1"/>
            <w:r w:rsidDel="00000000" w:rsidR="00000000" w:rsidRPr="00000000">
              <w:rPr>
                <w:rFonts w:ascii="Helvetica Neue" w:cs="Helvetica Neue" w:eastAsia="Helvetica Neue" w:hAnsi="Helvetica Neue"/>
                <w:b w:val="0"/>
                <w:bCs w:val="0"/>
                <w:color w:val="1a1a1a"/>
                <w:sz w:val="22"/>
                <w:szCs w:val="22"/>
                <w:rtl w:val="0"/>
              </w:rPr>
              <w:t xml:space="preserve">PNRR – Indicazioni operative in materia di gestione finanziaria, monitoraggio, rendicontazione e controllo degli interventi.</w:t>
            </w:r>
          </w:p>
          <w:p w:rsidR="00000000" w:rsidDel="00000000" w:rsidP="00000000" w:rsidRDefault="00000000" w:rsidRPr="00000000" w14:paraId="0000000B">
            <w:pPr>
              <w:shd w:fill="ffffff" w:val="clear"/>
              <w:spacing w:after="300" w:before="300" w:lineRule="auto"/>
              <w:rPr>
                <w:rFonts w:ascii="Helvetica Neue" w:cs="Helvetica Neue" w:eastAsia="Helvetica Neue" w:hAnsi="Helvetica Neue"/>
                <w:color w:val="1a1a1a"/>
                <w:sz w:val="22"/>
                <w:szCs w:val="22"/>
              </w:rPr>
            </w:pPr>
            <w:r w:rsidDel="00000000" w:rsidR="00000000" w:rsidRPr="00000000">
              <w:rPr>
                <w:rtl w:val="0"/>
              </w:rPr>
            </w:r>
          </w:p>
        </w:tc>
        <w:tc>
          <w:tcPr/>
          <w:p w:rsidR="00000000" w:rsidDel="00000000" w:rsidP="00000000" w:rsidRDefault="00000000" w:rsidRPr="00000000" w14:paraId="0000000C">
            <w:pPr>
              <w:shd w:fill="ffffff" w:val="clear"/>
              <w:spacing w:after="300" w:before="300" w:lineRule="auto"/>
              <w:rPr>
                <w:rFonts w:ascii="Helvetica Neue" w:cs="Helvetica Neue" w:eastAsia="Helvetica Neue" w:hAnsi="Helvetica Neue"/>
                <w:color w:val="1a1a1a"/>
                <w:sz w:val="22"/>
                <w:szCs w:val="22"/>
              </w:rPr>
            </w:pPr>
            <w:r w:rsidDel="00000000" w:rsidR="00000000" w:rsidRPr="00000000">
              <w:rPr>
                <w:rFonts w:ascii="Helvetica Neue" w:cs="Helvetica Neue" w:eastAsia="Helvetica Neue" w:hAnsi="Helvetica Neue"/>
                <w:color w:val="1a1a1a"/>
                <w:sz w:val="22"/>
                <w:szCs w:val="22"/>
                <w:rtl w:val="0"/>
              </w:rPr>
              <w:t xml:space="preserve">La circolare fornisce indicazioni operative alle amministrazioni ed enti coinvolti per garantire una gestione efficace e tempestiva delle attività di gestione finanziaria, monitoraggio, rendicontazione e controllo degli interventi finanziati dal PNRR, nonché il raggiungimento dei relativi obiettivi. Le indicazioni tengono conto delle recenti modifiche alla normativa nazionale e degli orientamenti della Commissione europea contenuti nella comunicazione “Next Generation EU - The road to 2026”. Il documento risponde inoltre ai quesiti posti da amministrazioni titolari di misure e soggetti attuatori riguardo al corretto adempimento degli obblighi previsti dal PNRR, con particolare attenzione alla rendicontazione finale degli obiettivi e allo scenario operativo successivo al 2026.</w:t>
            </w:r>
          </w:p>
        </w:tc>
        <w:tc>
          <w:tcPr/>
          <w:p w:rsidR="00000000" w:rsidDel="00000000" w:rsidP="00000000" w:rsidRDefault="00000000" w:rsidRPr="00000000" w14:paraId="0000000D">
            <w:pPr>
              <w:spacing w:before="0" w:lineRule="auto"/>
              <w:rPr/>
            </w:pPr>
            <w:r w:rsidDel="00000000" w:rsidR="00000000" w:rsidRPr="00000000">
              <w:rPr>
                <w:rtl w:val="0"/>
              </w:rPr>
              <w:t xml:space="preserve">Nessuna</w:t>
            </w:r>
          </w:p>
        </w:tc>
        <w:tc>
          <w:tcPr/>
          <w:p w:rsidR="00000000" w:rsidDel="00000000" w:rsidP="00000000" w:rsidRDefault="00000000" w:rsidRPr="00000000" w14:paraId="0000000E">
            <w:pPr>
              <w:spacing w:before="0" w:lineRule="auto"/>
              <w:rPr/>
            </w:pPr>
            <w:r w:rsidDel="00000000" w:rsidR="00000000" w:rsidRPr="00000000">
              <w:rPr>
                <w:rtl w:val="0"/>
              </w:rPr>
              <w:t xml:space="preserve">Nessuna</w:t>
            </w:r>
          </w:p>
        </w:tc>
      </w:tr>
      <w:tr>
        <w:trPr>
          <w:cantSplit w:val="0"/>
          <w:trHeight w:val="904" w:hRule="atLeast"/>
          <w:tblHeader w:val="0"/>
        </w:trPr>
        <w:tc>
          <w:tcPr>
            <w:vMerge w:val="continue"/>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10">
            <w:pPr>
              <w:pStyle w:val="Heading2"/>
              <w:keepNext w:val="0"/>
              <w:keepLines w:val="0"/>
              <w:pBdr>
                <w:left w:color="000000" w:space="30" w:sz="0" w:val="none"/>
                <w:right w:color="000000" w:space="22" w:sz="0" w:val="none"/>
              </w:pBdr>
              <w:shd w:fill="ffffff" w:val="clear"/>
              <w:spacing w:after="640" w:line="288" w:lineRule="auto"/>
              <w:rPr>
                <w:color w:val="0000ff"/>
                <w:u w:val="single"/>
              </w:rPr>
            </w:pPr>
            <w:bookmarkStart w:colFirst="0" w:colLast="0" w:name="_hiufgtsfvssa" w:id="2"/>
            <w:bookmarkEnd w:id="2"/>
            <w:r w:rsidDel="00000000" w:rsidR="00000000" w:rsidRPr="00000000">
              <w:rPr>
                <w:b w:val="0"/>
                <w:bCs w:val="0"/>
                <w:color w:val="1155cc"/>
                <w:sz w:val="24"/>
                <w:szCs w:val="24"/>
                <w:u w:val="single"/>
                <w:rtl w:val="0"/>
              </w:rPr>
              <w:t xml:space="preserve">30 maggio 2025, n. 15</w:t>
            </w:r>
            <w:r w:rsidDel="00000000" w:rsidR="00000000" w:rsidRPr="00000000">
              <w:rPr>
                <w:rtl w:val="0"/>
              </w:rPr>
            </w:r>
          </w:p>
        </w:tc>
        <w:tc>
          <w:tcPr/>
          <w:p w:rsidR="00000000" w:rsidDel="00000000" w:rsidP="00000000" w:rsidRDefault="00000000" w:rsidRPr="00000000" w14:paraId="00000011">
            <w:pPr>
              <w:pStyle w:val="Heading3"/>
              <w:keepNext w:val="0"/>
              <w:keepLines w:val="0"/>
              <w:shd w:fill="ffffff" w:val="clear"/>
              <w:spacing w:after="360" w:before="360" w:line="288" w:lineRule="auto"/>
              <w:rPr>
                <w:rFonts w:ascii="Roboto" w:cs="Roboto" w:eastAsia="Roboto" w:hAnsi="Roboto"/>
                <w:color w:val="212529"/>
                <w:sz w:val="26"/>
                <w:szCs w:val="26"/>
              </w:rPr>
            </w:pPr>
            <w:bookmarkStart w:colFirst="0" w:colLast="0" w:name="_r2pw8lw50j5v" w:id="3"/>
            <w:bookmarkEnd w:id="3"/>
            <w:r w:rsidDel="00000000" w:rsidR="00000000" w:rsidRPr="00000000">
              <w:rPr>
                <w:rFonts w:ascii="Helvetica Neue" w:cs="Helvetica Neue" w:eastAsia="Helvetica Neue" w:hAnsi="Helvetica Neue"/>
                <w:b w:val="0"/>
                <w:bCs w:val="0"/>
                <w:color w:val="1a1a1a"/>
                <w:sz w:val="22"/>
                <w:szCs w:val="22"/>
                <w:rtl w:val="0"/>
              </w:rPr>
              <w:t xml:space="preserve">Piano Nazionale di Ripresa e Resilienza (PNRR) - Rendicontazione Milestone/Target (M&amp;T) connessi alla ottava “Richiesta di pagamento” alla C.E.</w:t>
            </w:r>
            <w:r w:rsidDel="00000000" w:rsidR="00000000" w:rsidRPr="00000000">
              <w:rPr>
                <w:rtl w:val="0"/>
              </w:rPr>
            </w:r>
          </w:p>
          <w:p w:rsidR="00000000" w:rsidDel="00000000" w:rsidP="00000000" w:rsidRDefault="00000000" w:rsidRPr="00000000" w14:paraId="00000012">
            <w:pPr>
              <w:shd w:fill="ffffff" w:val="clear"/>
              <w:spacing w:after="300" w:before="300" w:lineRule="auto"/>
              <w:rPr>
                <w:rFonts w:ascii="Helvetica Neue" w:cs="Helvetica Neue" w:eastAsia="Helvetica Neue" w:hAnsi="Helvetica Neue"/>
                <w:color w:val="1a1a1a"/>
                <w:sz w:val="22"/>
                <w:szCs w:val="22"/>
              </w:rPr>
            </w:pPr>
            <w:r w:rsidDel="00000000" w:rsidR="00000000" w:rsidRPr="00000000">
              <w:rPr>
                <w:rtl w:val="0"/>
              </w:rPr>
            </w:r>
          </w:p>
        </w:tc>
        <w:tc>
          <w:tcPr/>
          <w:p w:rsidR="00000000" w:rsidDel="00000000" w:rsidP="00000000" w:rsidRDefault="00000000" w:rsidRPr="00000000" w14:paraId="00000013">
            <w:pPr>
              <w:shd w:fill="ffffff" w:val="clear"/>
              <w:spacing w:after="300" w:before="300" w:lineRule="auto"/>
              <w:rPr>
                <w:rFonts w:ascii="Helvetica Neue" w:cs="Helvetica Neue" w:eastAsia="Helvetica Neue" w:hAnsi="Helvetica Neue"/>
                <w:color w:val="1a1a1a"/>
                <w:sz w:val="22"/>
                <w:szCs w:val="22"/>
              </w:rPr>
            </w:pPr>
            <w:r w:rsidDel="00000000" w:rsidR="00000000" w:rsidRPr="00000000">
              <w:rPr>
                <w:rFonts w:ascii="Helvetica Neue" w:cs="Helvetica Neue" w:eastAsia="Helvetica Neue" w:hAnsi="Helvetica Neue"/>
                <w:color w:val="1a1a1a"/>
                <w:sz w:val="22"/>
                <w:szCs w:val="22"/>
                <w:rtl w:val="0"/>
              </w:rPr>
              <w:t xml:space="preserve">La circolare fornisce indicazioni alle Amministrazioni sugli adempimenti di rendicontazione necessari per presentare alla Commissione europea la richiesta di pagamento dell’ottava rata del PNRR. Le attività riguardano gli obiettivi in scadenza nel primo e secondo trimestre 2025 delle misure di competenza delle Amministrazioni centrali, in coerenza con la modifica del Piano approvata dal Consiglio ECOFIN il 18 novembre 2024. La rendicontazione deve essere svolta dalle Unità di Missione PNRR tramite il sistema informativo ReGiS, utilizzando le funzionalità “Avanzamento M&amp;T” e “Consuntivazione M&amp;T”, con caricamento dei documenti nella sezione dedicata.</w:t>
            </w:r>
          </w:p>
        </w:tc>
        <w:tc>
          <w:tcPr/>
          <w:p w:rsidR="00000000" w:rsidDel="00000000" w:rsidP="00000000" w:rsidRDefault="00000000" w:rsidRPr="00000000" w14:paraId="00000014">
            <w:pPr>
              <w:spacing w:before="0" w:lineRule="auto"/>
              <w:rPr/>
            </w:pPr>
            <w:r w:rsidDel="00000000" w:rsidR="00000000" w:rsidRPr="00000000">
              <w:rPr>
                <w:rtl w:val="0"/>
              </w:rPr>
              <w:t xml:space="preserve">Nessuna</w:t>
            </w:r>
          </w:p>
        </w:tc>
        <w:tc>
          <w:tcPr/>
          <w:p w:rsidR="00000000" w:rsidDel="00000000" w:rsidP="00000000" w:rsidRDefault="00000000" w:rsidRPr="00000000" w14:paraId="00000015">
            <w:pPr>
              <w:spacing w:before="0" w:lineRule="auto"/>
              <w:rPr/>
            </w:pPr>
            <w:r w:rsidDel="00000000" w:rsidR="00000000" w:rsidRPr="00000000">
              <w:rPr>
                <w:rtl w:val="0"/>
              </w:rPr>
              <w:t xml:space="preserve">Nessuna</w:t>
            </w:r>
          </w:p>
        </w:tc>
      </w:tr>
      <w:tr>
        <w:trPr>
          <w:cantSplit w:val="0"/>
          <w:trHeight w:val="904" w:hRule="atLeast"/>
          <w:tblHeader w:val="0"/>
        </w:trPr>
        <w:tc>
          <w:tcPr>
            <w:vMerge w:val="continue"/>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17">
            <w:pPr>
              <w:spacing w:before="0" w:lineRule="auto"/>
              <w:rPr>
                <w:color w:val="0000ff"/>
                <w:u w:val="single"/>
              </w:rPr>
            </w:pPr>
            <w:hyperlink r:id="rId7">
              <w:r w:rsidDel="00000000" w:rsidR="00000000" w:rsidRPr="00000000">
                <w:rPr>
                  <w:color w:val="0000ff"/>
                  <w:u w:val="single"/>
                  <w:rtl w:val="0"/>
                </w:rPr>
                <w:t xml:space="preserve">8 gennaio 2025, n. 1</w:t>
              </w:r>
            </w:hyperlink>
            <w:r w:rsidDel="00000000" w:rsidR="00000000" w:rsidRPr="00000000">
              <w:rPr>
                <w:rtl w:val="0"/>
              </w:rPr>
            </w:r>
          </w:p>
        </w:tc>
        <w:tc>
          <w:tcPr/>
          <w:p w:rsidR="00000000" w:rsidDel="00000000" w:rsidP="00000000" w:rsidRDefault="00000000" w:rsidRPr="00000000" w14:paraId="00000018">
            <w:pPr>
              <w:shd w:fill="ffffff" w:val="clear"/>
              <w:spacing w:after="300" w:before="300" w:lineRule="auto"/>
              <w:rPr/>
            </w:pPr>
            <w:r w:rsidDel="00000000" w:rsidR="00000000" w:rsidRPr="00000000">
              <w:rPr>
                <w:rFonts w:ascii="Helvetica Neue" w:cs="Helvetica Neue" w:eastAsia="Helvetica Neue" w:hAnsi="Helvetica Neue"/>
                <w:color w:val="1a1a1a"/>
                <w:sz w:val="22"/>
                <w:szCs w:val="22"/>
                <w:rtl w:val="0"/>
              </w:rPr>
              <w:t xml:space="preserve">Circolare in materia di apposizione del codice unico progetto (CUP) alle fatture per gli acquisti di beni e servizi oggetto di incentivi pubblici</w:t>
            </w:r>
            <w:r w:rsidDel="00000000" w:rsidR="00000000" w:rsidRPr="00000000">
              <w:rPr>
                <w:rtl w:val="0"/>
              </w:rPr>
            </w:r>
          </w:p>
        </w:tc>
        <w:tc>
          <w:tcPr/>
          <w:p w:rsidR="00000000" w:rsidDel="00000000" w:rsidP="00000000" w:rsidRDefault="00000000" w:rsidRPr="00000000" w14:paraId="00000019">
            <w:pPr>
              <w:shd w:fill="ffffff" w:val="clear"/>
              <w:spacing w:after="300" w:before="300" w:lineRule="auto"/>
              <w:rPr>
                <w:rFonts w:ascii="Helvetica Neue" w:cs="Helvetica Neue" w:eastAsia="Helvetica Neue" w:hAnsi="Helvetica Neue"/>
                <w:color w:val="1a1a1a"/>
                <w:sz w:val="22"/>
                <w:szCs w:val="22"/>
              </w:rPr>
            </w:pPr>
            <w:r w:rsidDel="00000000" w:rsidR="00000000" w:rsidRPr="00000000">
              <w:rPr>
                <w:rFonts w:ascii="Helvetica Neue" w:cs="Helvetica Neue" w:eastAsia="Helvetica Neue" w:hAnsi="Helvetica Neue"/>
                <w:color w:val="1a1a1a"/>
                <w:sz w:val="22"/>
                <w:szCs w:val="22"/>
                <w:rtl w:val="0"/>
              </w:rPr>
              <w:t xml:space="preserve">La presente circolare ha l'obiettivo di fornire indicazioni uniformi in ambito di apposizione del codice unico progetto (CUP) all'interno della fattura per gli acquisti di beni e servizi oggetto di incentivi pubblici per una corretta applicazione dell’articolo 5, del decreto-legge 24 febbraio 2023, n. 13, convertito con modificazioni dalla legge 21 aprile 2023, n. 41, rubricato “Disposizioni in materia di controllo e monitoraggio dell’attuazione degli interventi realizzati con risorse nazionali ed europee”. </w:t>
            </w:r>
          </w:p>
        </w:tc>
        <w:tc>
          <w:tcPr/>
          <w:p w:rsidR="00000000" w:rsidDel="00000000" w:rsidP="00000000" w:rsidRDefault="00000000" w:rsidRPr="00000000" w14:paraId="0000001A">
            <w:pPr>
              <w:spacing w:before="0" w:lineRule="auto"/>
              <w:rPr/>
            </w:pPr>
            <w:r w:rsidDel="00000000" w:rsidR="00000000" w:rsidRPr="00000000">
              <w:rPr>
                <w:rtl w:val="0"/>
              </w:rPr>
            </w:r>
          </w:p>
        </w:tc>
        <w:tc>
          <w:tcPr/>
          <w:p w:rsidR="00000000" w:rsidDel="00000000" w:rsidP="00000000" w:rsidRDefault="00000000" w:rsidRPr="00000000" w14:paraId="0000001B">
            <w:pPr>
              <w:spacing w:before="0" w:lineRule="auto"/>
              <w:rPr/>
            </w:pPr>
            <w:r w:rsidDel="00000000" w:rsidR="00000000" w:rsidRPr="00000000">
              <w:rPr>
                <w:rtl w:val="0"/>
              </w:rPr>
            </w:r>
          </w:p>
        </w:tc>
      </w:tr>
      <w:tr>
        <w:trPr>
          <w:cantSplit w:val="0"/>
          <w:trHeight w:val="904" w:hRule="atLeast"/>
          <w:tblHeader w:val="0"/>
        </w:trPr>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0" w:lineRule="auto"/>
              <w:rPr>
                <w:rFonts w:ascii="Arial" w:cs="Arial" w:eastAsia="Arial" w:hAnsi="Arial"/>
                <w:b w:val="1"/>
                <w:bCs w:val="1"/>
                <w:color w:val="374151"/>
                <w:sz w:val="21"/>
                <w:szCs w:val="21"/>
              </w:rPr>
            </w:pPr>
            <w:r w:rsidDel="00000000" w:rsidR="00000000" w:rsidRPr="00000000">
              <w:rPr>
                <w:rFonts w:ascii="Arial" w:cs="Arial" w:eastAsia="Arial" w:hAnsi="Arial"/>
                <w:b w:val="1"/>
                <w:bCs w:val="1"/>
                <w:color w:val="374151"/>
                <w:sz w:val="21"/>
                <w:szCs w:val="21"/>
                <w:rtl w:val="0"/>
              </w:rPr>
              <w:t xml:space="preserve">2024</w:t>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0" w:lineRule="auto"/>
              <w:rPr/>
            </w:pPr>
            <w:hyperlink r:id="rId8">
              <w:r w:rsidDel="00000000" w:rsidR="00000000" w:rsidRPr="00000000">
                <w:rPr>
                  <w:color w:val="0000ff"/>
                  <w:u w:val="single"/>
                  <w:rtl w:val="0"/>
                </w:rPr>
                <w:t xml:space="preserve">8 novembre 2024, n. 36</w:t>
                <w:br w:type="textWrapping"/>
              </w:r>
            </w:hyperlink>
            <w:r w:rsidDel="00000000" w:rsidR="00000000" w:rsidRPr="00000000">
              <w:rPr>
                <w:rtl w:val="0"/>
              </w:rPr>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0" w:lineRule="auto"/>
              <w:rPr/>
            </w:pPr>
            <w:r w:rsidDel="00000000" w:rsidR="00000000" w:rsidRPr="00000000">
              <w:rPr>
                <w:rtl w:val="0"/>
              </w:rPr>
              <w:t xml:space="preserve">Disposizioni in materia di riduzione dei tempi di pagamento delle pubbliche amministrazioni – Pagamenti di natura non commerciale e utilizzo della facoltà prevista dall’articolo 4, comma 4, del decreto legislativo n. 231 del 2002.</w:t>
            </w:r>
          </w:p>
        </w:tc>
        <w:tc>
          <w:tcPr/>
          <w:p w:rsidR="00000000" w:rsidDel="00000000" w:rsidP="00000000" w:rsidRDefault="00000000" w:rsidRPr="00000000" w14:paraId="0000001F">
            <w:pPr>
              <w:spacing w:before="0" w:lineRule="auto"/>
              <w:rPr>
                <w:rFonts w:ascii="Helvetica Neue" w:cs="Helvetica Neue" w:eastAsia="Helvetica Neue" w:hAnsi="Helvetica Neue"/>
                <w:color w:val="1a1a1a"/>
                <w:sz w:val="22"/>
                <w:szCs w:val="22"/>
              </w:rPr>
            </w:pPr>
            <w:r w:rsidDel="00000000" w:rsidR="00000000" w:rsidRPr="00000000">
              <w:rPr>
                <w:rFonts w:ascii="Helvetica Neue" w:cs="Helvetica Neue" w:eastAsia="Helvetica Neue" w:hAnsi="Helvetica Neue"/>
                <w:color w:val="1a1a1a"/>
                <w:sz w:val="22"/>
                <w:szCs w:val="22"/>
                <w:rtl w:val="0"/>
              </w:rPr>
              <w:t xml:space="preserve">Tra le riforme abilitanti del Piano Nazionale di Ripresa e Resilienza (PNRR) che l’Italia si è impegnata a realizzare, è prevista la Riforma n. 1.11 “Riduzione dei tempi di pagamento delle pubbliche amministrazioni e delle autorità sanitarie”. In particolare, a seguito delle modifiche apportate al PNRR ed approvate con decisione del Consiglio dell’8 dicembre 2023, è stata introdotta la milestone M1C1-72bis, che prevede una serie di interventi volti a favorire un’accelerazione nel percorso di miglioramento dei tempi di pagamento delle pubbliche amministrazioni ai fini del conseguimento dei target previsti dalla stessa riforma, al primo trimestre del 2025 e del 2026. Al riguardo, tenuto conto che alcuni dei predetti interventi sono volti qualificare ed illustrare profili applicativi della disciplina vigente, anche a seguito delle recenti interlocuzioni con la Commissione europea, con la presente Circolare si intendono fornire le necessarie linee guida per l’individuazione delle fatture di natura commerciale, per il corretto utilizzo della facoltà prevista dall’articolo 4, comma 4, del decreto legislativo 9 ottobre 2002, n. 231, nonché per gli adempimenti degli organi di controllo di regolarità amministrativa e contabile, in ordine al corretto utilizzo della predetta facoltà.</w:t>
            </w:r>
          </w:p>
        </w:tc>
        <w:tc>
          <w:tcPr/>
          <w:p w:rsidR="00000000" w:rsidDel="00000000" w:rsidP="00000000" w:rsidRDefault="00000000" w:rsidRPr="00000000" w14:paraId="00000020">
            <w:pPr>
              <w:spacing w:before="0" w:lineRule="auto"/>
              <w:rPr/>
            </w:pPr>
            <w:r w:rsidDel="00000000" w:rsidR="00000000" w:rsidRPr="00000000">
              <w:rPr>
                <w:rtl w:val="0"/>
              </w:rPr>
              <w:t xml:space="preserve">Nessuna</w:t>
            </w:r>
          </w:p>
        </w:tc>
        <w:tc>
          <w:tcPr/>
          <w:p w:rsidR="00000000" w:rsidDel="00000000" w:rsidP="00000000" w:rsidRDefault="00000000" w:rsidRPr="00000000" w14:paraId="00000021">
            <w:pPr>
              <w:spacing w:before="0" w:lineRule="auto"/>
              <w:rPr/>
            </w:pPr>
            <w:r w:rsidDel="00000000" w:rsidR="00000000" w:rsidRPr="00000000">
              <w:rPr>
                <w:rtl w:val="0"/>
              </w:rPr>
              <w:t xml:space="preserve">Nessuna</w:t>
            </w:r>
          </w:p>
        </w:tc>
      </w:tr>
      <w:tr>
        <w:trPr>
          <w:cantSplit w:val="0"/>
          <w:trHeight w:val="904" w:hRule="atLeast"/>
          <w:tblHeader w:val="0"/>
        </w:trPr>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0" w:lineRule="auto"/>
              <w:rPr>
                <w:rFonts w:ascii="Arial" w:cs="Arial" w:eastAsia="Arial" w:hAnsi="Arial"/>
                <w:b w:val="1"/>
                <w:bCs w:val="1"/>
                <w:color w:val="374151"/>
                <w:sz w:val="21"/>
                <w:szCs w:val="21"/>
              </w:rPr>
            </w:pPr>
            <w:r w:rsidDel="00000000" w:rsidR="00000000" w:rsidRPr="00000000">
              <w:rPr>
                <w:rFonts w:ascii="Arial" w:cs="Arial" w:eastAsia="Arial" w:hAnsi="Arial"/>
                <w:b w:val="1"/>
                <w:bCs w:val="1"/>
                <w:color w:val="374151"/>
                <w:sz w:val="21"/>
                <w:szCs w:val="21"/>
                <w:rtl w:val="0"/>
              </w:rPr>
              <w:t xml:space="preserve">2024</w:t>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0" w:lineRule="auto"/>
              <w:rPr/>
            </w:pPr>
            <w:hyperlink r:id="rId9">
              <w:r w:rsidDel="00000000" w:rsidR="00000000" w:rsidRPr="00000000">
                <w:rPr>
                  <w:color w:val="0000ff"/>
                  <w:u w:val="single"/>
                  <w:rtl w:val="0"/>
                </w:rPr>
                <w:t xml:space="preserve">10 ottobre 2024, n. 35</w:t>
                <w:br w:type="textWrapping"/>
              </w:r>
            </w:hyperlink>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0" w:lineRule="auto"/>
              <w:rPr/>
            </w:pPr>
            <w:r w:rsidDel="00000000" w:rsidR="00000000" w:rsidRPr="00000000">
              <w:rPr>
                <w:rtl w:val="0"/>
              </w:rPr>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0" w:lineRule="auto"/>
              <w:rPr/>
            </w:pPr>
            <w:r w:rsidDel="00000000" w:rsidR="00000000" w:rsidRPr="00000000">
              <w:rPr>
                <w:rtl w:val="0"/>
              </w:rPr>
              <w:t xml:space="preserve">Monitoraggio delle misure del Piano nazionale di ripresa e resilienza (PNRR) e della Politica di Coesione per il periodo di programmazione 2021-2027. Protocollo Unico di Colloquio, vers. 4.0, Tabelle di contesto vers. 2.0 e Controlli di validazione vers. 1.0.</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60" w:before="0" w:line="264" w:lineRule="auto"/>
              <w:rPr>
                <w:rFonts w:ascii="Arial" w:cs="Arial" w:eastAsia="Arial" w:hAnsi="Arial"/>
                <w:color w:val="374151"/>
                <w:sz w:val="21"/>
                <w:szCs w:val="21"/>
              </w:rPr>
            </w:pPr>
            <w:r w:rsidDel="00000000" w:rsidR="00000000" w:rsidRPr="00000000">
              <w:rPr>
                <w:rtl w:val="0"/>
              </w:rPr>
            </w:r>
          </w:p>
        </w:tc>
        <w:tc>
          <w:tcPr/>
          <w:p w:rsidR="00000000" w:rsidDel="00000000" w:rsidP="00000000" w:rsidRDefault="00000000" w:rsidRPr="00000000" w14:paraId="00000027">
            <w:pPr>
              <w:spacing w:before="0" w:lineRule="auto"/>
              <w:rPr>
                <w:rFonts w:ascii="Helvetica Neue" w:cs="Helvetica Neue" w:eastAsia="Helvetica Neue" w:hAnsi="Helvetica Neue"/>
                <w:color w:val="1a1a1a"/>
                <w:sz w:val="22"/>
                <w:szCs w:val="22"/>
              </w:rPr>
            </w:pPr>
            <w:r w:rsidDel="00000000" w:rsidR="00000000" w:rsidRPr="00000000">
              <w:rPr>
                <w:rFonts w:ascii="Helvetica Neue" w:cs="Helvetica Neue" w:eastAsia="Helvetica Neue" w:hAnsi="Helvetica Neue"/>
                <w:color w:val="1a1a1a"/>
                <w:sz w:val="22"/>
                <w:szCs w:val="22"/>
                <w:rtl w:val="0"/>
              </w:rPr>
              <w:t xml:space="preserve">Il “Protocollo Unico di Colloquio RGS" reca il tracciato unico per il monitoraggio delle misure PNRR e degli interventi relativi ai progetti di investimento pubblico finanziati dai Fondi europei, dal Fondo di Sviluppo e Coesione (FSC) e da altre fonti nazionali della politica di coesione per il periodo 2021-2027. Tale documento definisce le informazioni per le quali le Amministrazioni devono assicurare, per gli interventi di rispettiva competenza, la rilevazione dei dati di attuazione finanziaria, fisica e procedurale a livello di singolo progetto e delle procedure di attivazione degli interventi. Al fine di fornire alle Amministrazioni responsabili le informazioni necessarie per la trasmissione puntuale dei dati e la gestione del colloquio tra i sistemi informativi locali e il sistema ReGiS quale sistema nazionale di monitoraggio, si rendono disponibili la versione aggiornata del Protocollo Unico di Colloquio (v. 4.0), Tabelle di contesto versione 2.0 e Controlli di validazione versione 1.0.</w:t>
            </w:r>
          </w:p>
        </w:tc>
        <w:tc>
          <w:tcPr/>
          <w:p w:rsidR="00000000" w:rsidDel="00000000" w:rsidP="00000000" w:rsidRDefault="00000000" w:rsidRPr="00000000" w14:paraId="00000028">
            <w:pPr>
              <w:spacing w:before="0" w:lineRule="auto"/>
              <w:rPr/>
            </w:pPr>
            <w:r w:rsidDel="00000000" w:rsidR="00000000" w:rsidRPr="00000000">
              <w:rPr>
                <w:rtl w:val="0"/>
              </w:rPr>
              <w:t xml:space="preserve">Circolare n.27 del 17 maggio 2024</w:t>
            </w:r>
          </w:p>
        </w:tc>
        <w:tc>
          <w:tcPr/>
          <w:p w:rsidR="00000000" w:rsidDel="00000000" w:rsidP="00000000" w:rsidRDefault="00000000" w:rsidRPr="00000000" w14:paraId="00000029">
            <w:pPr>
              <w:spacing w:before="0" w:lineRule="auto"/>
              <w:rPr/>
            </w:pPr>
            <w:r w:rsidDel="00000000" w:rsidR="00000000" w:rsidRPr="00000000">
              <w:rPr>
                <w:rtl w:val="0"/>
              </w:rPr>
              <w:t xml:space="preserve">Nessuna</w:t>
            </w:r>
          </w:p>
        </w:tc>
      </w:tr>
      <w:tr>
        <w:trPr>
          <w:cantSplit w:val="0"/>
          <w:trHeight w:val="904" w:hRule="atLeast"/>
          <w:tblHeader w:val="0"/>
        </w:trPr>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0" w:lineRule="auto"/>
              <w:rPr>
                <w:rFonts w:ascii="Arial" w:cs="Arial" w:eastAsia="Arial" w:hAnsi="Arial"/>
                <w:b w:val="1"/>
                <w:bCs w:val="1"/>
                <w:color w:val="374151"/>
                <w:sz w:val="21"/>
                <w:szCs w:val="21"/>
              </w:rPr>
            </w:pPr>
            <w:r w:rsidDel="00000000" w:rsidR="00000000" w:rsidRPr="00000000">
              <w:rPr>
                <w:rFonts w:ascii="Arial" w:cs="Arial" w:eastAsia="Arial" w:hAnsi="Arial"/>
                <w:b w:val="1"/>
                <w:bCs w:val="1"/>
                <w:color w:val="374151"/>
                <w:sz w:val="21"/>
                <w:szCs w:val="21"/>
                <w:rtl w:val="0"/>
              </w:rPr>
              <w:t xml:space="preserve">2024</w:t>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0" w:lineRule="auto"/>
              <w:rPr>
                <w:color w:val="0000ff"/>
                <w:u w:val="single"/>
              </w:rPr>
            </w:pPr>
            <w:hyperlink r:id="rId10">
              <w:r w:rsidDel="00000000" w:rsidR="00000000" w:rsidRPr="00000000">
                <w:rPr>
                  <w:color w:val="0000ff"/>
                  <w:u w:val="single"/>
                  <w:rtl w:val="0"/>
                </w:rPr>
                <w:t xml:space="preserve">15 luglio 2024, n. 33</w:t>
              </w:r>
            </w:hyperlink>
            <w:r w:rsidDel="00000000" w:rsidR="00000000" w:rsidRPr="00000000">
              <w:rPr>
                <w:rtl w:val="0"/>
              </w:rPr>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Aggiornamento Linee guida metodologiche per la rendicontazione degli indicatori comuni per il Piano nazionale di ripresa e resilienza</w:t>
            </w:r>
          </w:p>
        </w:tc>
        <w:tc>
          <w:tcPr/>
          <w:p w:rsidR="00000000" w:rsidDel="00000000" w:rsidP="00000000" w:rsidRDefault="00000000" w:rsidRPr="00000000" w14:paraId="0000002D">
            <w:pPr>
              <w:spacing w:before="0" w:lineRule="auto"/>
              <w:rPr>
                <w:rFonts w:ascii="Helvetica Neue" w:cs="Helvetica Neue" w:eastAsia="Helvetica Neue" w:hAnsi="Helvetica Neue"/>
                <w:color w:val="1a1a1a"/>
                <w:sz w:val="22"/>
                <w:szCs w:val="22"/>
              </w:rPr>
            </w:pPr>
            <w:r w:rsidDel="00000000" w:rsidR="00000000" w:rsidRPr="00000000">
              <w:rPr>
                <w:rFonts w:ascii="Helvetica Neue" w:cs="Helvetica Neue" w:eastAsia="Helvetica Neue" w:hAnsi="Helvetica Neue"/>
                <w:color w:val="1a1a1a"/>
                <w:sz w:val="22"/>
                <w:szCs w:val="22"/>
                <w:rtl w:val="0"/>
              </w:rPr>
              <w:t xml:space="preserve">Il Regolamento UE 2021/241 istitutivo del Dispositivo di ripresa e resilienza attribuisce agli Stati membri l’obbligo di riferire due volte l’anno nell’ambito del semestre europeo anche in merito agli indicatori comuni (art. 27).</w:t>
            </w:r>
          </w:p>
          <w:p w:rsidR="00000000" w:rsidDel="00000000" w:rsidP="00000000" w:rsidRDefault="00000000" w:rsidRPr="00000000" w14:paraId="0000002E">
            <w:pPr>
              <w:spacing w:before="0" w:lineRule="auto"/>
              <w:rPr>
                <w:rFonts w:ascii="Helvetica Neue" w:cs="Helvetica Neue" w:eastAsia="Helvetica Neue" w:hAnsi="Helvetica Neue"/>
                <w:color w:val="1a1a1a"/>
                <w:sz w:val="22"/>
                <w:szCs w:val="22"/>
              </w:rPr>
            </w:pPr>
            <w:r w:rsidDel="00000000" w:rsidR="00000000" w:rsidRPr="00000000">
              <w:rPr>
                <w:rtl w:val="0"/>
              </w:rPr>
            </w:r>
          </w:p>
          <w:p w:rsidR="00000000" w:rsidDel="00000000" w:rsidP="00000000" w:rsidRDefault="00000000" w:rsidRPr="00000000" w14:paraId="0000002F">
            <w:pPr>
              <w:spacing w:before="0" w:lineRule="auto"/>
              <w:rPr>
                <w:rFonts w:ascii="Helvetica Neue" w:cs="Helvetica Neue" w:eastAsia="Helvetica Neue" w:hAnsi="Helvetica Neue"/>
                <w:color w:val="1a1a1a"/>
                <w:sz w:val="22"/>
                <w:szCs w:val="22"/>
              </w:rPr>
            </w:pPr>
            <w:r w:rsidDel="00000000" w:rsidR="00000000" w:rsidRPr="00000000">
              <w:rPr>
                <w:rFonts w:ascii="Helvetica Neue" w:cs="Helvetica Neue" w:eastAsia="Helvetica Neue" w:hAnsi="Helvetica Neue"/>
                <w:color w:val="1a1a1a"/>
                <w:sz w:val="22"/>
                <w:szCs w:val="22"/>
                <w:rtl w:val="0"/>
              </w:rPr>
              <w:t xml:space="preserve">Tali indicatori sono stati adottati dalla Commissione Europea con il Regolamento delegato 2021/2106 per riferire sui progressi ottenuti dai PNRR di tutti gli Stati Membri su dimensioni che accomunano i vari piani nazionali, e sono pertanto oggetto di rilevazione periodica per un monitoraggio d’insieme del dispositivo. Gli Stati membri sono tenuti a trasmettere i dati due volte l’anno, entro il 31 agosto per il semestre gennaio-giugno ed entro il 28 febbraio dell’anno successivo per il semestre luglio-dicembre.</w:t>
            </w:r>
          </w:p>
          <w:p w:rsidR="00000000" w:rsidDel="00000000" w:rsidP="00000000" w:rsidRDefault="00000000" w:rsidRPr="00000000" w14:paraId="00000030">
            <w:pPr>
              <w:spacing w:before="0" w:lineRule="auto"/>
              <w:rPr>
                <w:rFonts w:ascii="Helvetica Neue" w:cs="Helvetica Neue" w:eastAsia="Helvetica Neue" w:hAnsi="Helvetica Neue"/>
                <w:color w:val="1a1a1a"/>
                <w:sz w:val="22"/>
                <w:szCs w:val="22"/>
              </w:rPr>
            </w:pPr>
            <w:r w:rsidDel="00000000" w:rsidR="00000000" w:rsidRPr="00000000">
              <w:rPr>
                <w:rtl w:val="0"/>
              </w:rPr>
            </w:r>
          </w:p>
          <w:p w:rsidR="00000000" w:rsidDel="00000000" w:rsidP="00000000" w:rsidRDefault="00000000" w:rsidRPr="00000000" w14:paraId="00000031">
            <w:pPr>
              <w:spacing w:before="0" w:lineRule="auto"/>
              <w:rPr>
                <w:rFonts w:ascii="Helvetica Neue" w:cs="Helvetica Neue" w:eastAsia="Helvetica Neue" w:hAnsi="Helvetica Neue"/>
                <w:color w:val="1a1a1a"/>
                <w:sz w:val="22"/>
                <w:szCs w:val="22"/>
              </w:rPr>
            </w:pPr>
            <w:r w:rsidDel="00000000" w:rsidR="00000000" w:rsidRPr="00000000">
              <w:rPr>
                <w:rFonts w:ascii="Helvetica Neue" w:cs="Helvetica Neue" w:eastAsia="Helvetica Neue" w:hAnsi="Helvetica Neue"/>
                <w:color w:val="1a1a1a"/>
                <w:sz w:val="22"/>
                <w:szCs w:val="22"/>
                <w:rtl w:val="0"/>
              </w:rPr>
              <w:t xml:space="preserve">Le “Linee guida metodologiche per la rendicontazione degli indicatori comuni per il Piano nazionale di ripresa e resilienza”, di cui alla Circolare della Ragioneria Generale dello Stato n. 34 del 17 ottobre 2022, forniscono istruzioni alle Amministrazioni circa la rendicontazione dei dati sugli indicatori comuni per il Piano nazionale di ripresa e resilienza, indicando il ruolo dei soggetti coinvolti e il calendario per la rilevazione periodica, nonché fornendo indicazioni metodologiche ai fini dell’omogeneo computo degli indicatori comuni a livello nazionale.</w:t>
            </w:r>
          </w:p>
          <w:p w:rsidR="00000000" w:rsidDel="00000000" w:rsidP="00000000" w:rsidRDefault="00000000" w:rsidRPr="00000000" w14:paraId="00000032">
            <w:pPr>
              <w:spacing w:before="0" w:lineRule="auto"/>
              <w:rPr>
                <w:rFonts w:ascii="Helvetica Neue" w:cs="Helvetica Neue" w:eastAsia="Helvetica Neue" w:hAnsi="Helvetica Neue"/>
                <w:color w:val="1a1a1a"/>
                <w:sz w:val="22"/>
                <w:szCs w:val="22"/>
              </w:rPr>
            </w:pPr>
            <w:r w:rsidDel="00000000" w:rsidR="00000000" w:rsidRPr="00000000">
              <w:rPr>
                <w:rtl w:val="0"/>
              </w:rPr>
            </w:r>
          </w:p>
          <w:p w:rsidR="00000000" w:rsidDel="00000000" w:rsidP="00000000" w:rsidRDefault="00000000" w:rsidRPr="00000000" w14:paraId="00000033">
            <w:pPr>
              <w:spacing w:before="0" w:lineRule="auto"/>
              <w:rPr>
                <w:rFonts w:ascii="Helvetica Neue" w:cs="Helvetica Neue" w:eastAsia="Helvetica Neue" w:hAnsi="Helvetica Neue"/>
                <w:color w:val="1a1a1a"/>
                <w:sz w:val="22"/>
                <w:szCs w:val="22"/>
              </w:rPr>
            </w:pPr>
            <w:r w:rsidDel="00000000" w:rsidR="00000000" w:rsidRPr="00000000">
              <w:rPr>
                <w:rFonts w:ascii="Helvetica Neue" w:cs="Helvetica Neue" w:eastAsia="Helvetica Neue" w:hAnsi="Helvetica Neue"/>
                <w:color w:val="1a1a1a"/>
                <w:sz w:val="22"/>
                <w:szCs w:val="22"/>
                <w:rtl w:val="0"/>
              </w:rPr>
              <w:t xml:space="preserve">Rispetto alla precedente versione, l’aggiornamento delle Linee guida</w:t>
            </w:r>
          </w:p>
          <w:p w:rsidR="00000000" w:rsidDel="00000000" w:rsidP="00000000" w:rsidRDefault="00000000" w:rsidRPr="00000000" w14:paraId="00000034">
            <w:pPr>
              <w:spacing w:before="0" w:lineRule="auto"/>
              <w:rPr>
                <w:rFonts w:ascii="Helvetica Neue" w:cs="Helvetica Neue" w:eastAsia="Helvetica Neue" w:hAnsi="Helvetica Neue"/>
                <w:color w:val="1a1a1a"/>
                <w:sz w:val="22"/>
                <w:szCs w:val="22"/>
              </w:rPr>
            </w:pPr>
            <w:r w:rsidDel="00000000" w:rsidR="00000000" w:rsidRPr="00000000">
              <w:rPr>
                <w:rtl w:val="0"/>
              </w:rPr>
            </w:r>
          </w:p>
          <w:p w:rsidR="00000000" w:rsidDel="00000000" w:rsidP="00000000" w:rsidRDefault="00000000" w:rsidRPr="00000000" w14:paraId="00000035">
            <w:pPr>
              <w:spacing w:before="0" w:lineRule="auto"/>
              <w:rPr>
                <w:rFonts w:ascii="Helvetica Neue" w:cs="Helvetica Neue" w:eastAsia="Helvetica Neue" w:hAnsi="Helvetica Neue"/>
                <w:color w:val="1a1a1a"/>
                <w:sz w:val="22"/>
                <w:szCs w:val="22"/>
              </w:rPr>
            </w:pPr>
            <w:r w:rsidDel="00000000" w:rsidR="00000000" w:rsidRPr="00000000">
              <w:rPr>
                <w:rFonts w:ascii="Helvetica Neue" w:cs="Helvetica Neue" w:eastAsia="Helvetica Neue" w:hAnsi="Helvetica Neue"/>
                <w:color w:val="1a1a1a"/>
                <w:sz w:val="22"/>
                <w:szCs w:val="22"/>
                <w:rtl w:val="0"/>
              </w:rPr>
              <w:t xml:space="preserve">i) include un nuovo approfondimento metodologico relativo all’indicatore comune 4 “Popolazione che beneficia di misure di protezione contro inondazioni, incendi boschivi e altri disastri naturali legati al clima”, predisposto con il contributo di ISPRA e delle Amministrazioni titolari delle misure interessate dall’indicatore;</w:t>
            </w:r>
          </w:p>
          <w:p w:rsidR="00000000" w:rsidDel="00000000" w:rsidP="00000000" w:rsidRDefault="00000000" w:rsidRPr="00000000" w14:paraId="00000036">
            <w:pPr>
              <w:spacing w:before="0" w:lineRule="auto"/>
              <w:rPr>
                <w:rFonts w:ascii="Helvetica Neue" w:cs="Helvetica Neue" w:eastAsia="Helvetica Neue" w:hAnsi="Helvetica Neue"/>
                <w:color w:val="1a1a1a"/>
                <w:sz w:val="22"/>
                <w:szCs w:val="22"/>
              </w:rPr>
            </w:pPr>
            <w:r w:rsidDel="00000000" w:rsidR="00000000" w:rsidRPr="00000000">
              <w:rPr>
                <w:rtl w:val="0"/>
              </w:rPr>
            </w:r>
          </w:p>
          <w:p w:rsidR="00000000" w:rsidDel="00000000" w:rsidP="00000000" w:rsidRDefault="00000000" w:rsidRPr="00000000" w14:paraId="00000037">
            <w:pPr>
              <w:spacing w:before="0" w:lineRule="auto"/>
              <w:rPr>
                <w:rFonts w:ascii="Helvetica Neue" w:cs="Helvetica Neue" w:eastAsia="Helvetica Neue" w:hAnsi="Helvetica Neue"/>
                <w:color w:val="1a1a1a"/>
                <w:sz w:val="22"/>
                <w:szCs w:val="22"/>
              </w:rPr>
            </w:pPr>
            <w:r w:rsidDel="00000000" w:rsidR="00000000" w:rsidRPr="00000000">
              <w:rPr>
                <w:rFonts w:ascii="Helvetica Neue" w:cs="Helvetica Neue" w:eastAsia="Helvetica Neue" w:hAnsi="Helvetica Neue"/>
                <w:color w:val="1a1a1a"/>
                <w:sz w:val="22"/>
                <w:szCs w:val="22"/>
                <w:rtl w:val="0"/>
              </w:rPr>
              <w:t xml:space="preserve">ii) illustra l’utilizzo di alcune nuove funzionalità del sistema di monitoraggio ReGiS e, in alcuni casi, chiarisce le modalità di alimentazione di campi già esistenti;</w:t>
            </w:r>
          </w:p>
          <w:p w:rsidR="00000000" w:rsidDel="00000000" w:rsidP="00000000" w:rsidRDefault="00000000" w:rsidRPr="00000000" w14:paraId="00000038">
            <w:pPr>
              <w:spacing w:before="0" w:lineRule="auto"/>
              <w:rPr>
                <w:rFonts w:ascii="Helvetica Neue" w:cs="Helvetica Neue" w:eastAsia="Helvetica Neue" w:hAnsi="Helvetica Neue"/>
                <w:color w:val="1a1a1a"/>
                <w:sz w:val="22"/>
                <w:szCs w:val="22"/>
              </w:rPr>
            </w:pPr>
            <w:r w:rsidDel="00000000" w:rsidR="00000000" w:rsidRPr="00000000">
              <w:rPr>
                <w:rtl w:val="0"/>
              </w:rPr>
            </w:r>
          </w:p>
          <w:p w:rsidR="00000000" w:rsidDel="00000000" w:rsidP="00000000" w:rsidRDefault="00000000" w:rsidRPr="00000000" w14:paraId="00000039">
            <w:pPr>
              <w:spacing w:before="0" w:lineRule="auto"/>
              <w:rPr>
                <w:rFonts w:ascii="Helvetica Neue" w:cs="Helvetica Neue" w:eastAsia="Helvetica Neue" w:hAnsi="Helvetica Neue"/>
                <w:color w:val="1a1a1a"/>
                <w:sz w:val="22"/>
                <w:szCs w:val="22"/>
              </w:rPr>
            </w:pPr>
            <w:r w:rsidDel="00000000" w:rsidR="00000000" w:rsidRPr="00000000">
              <w:rPr>
                <w:rFonts w:ascii="Helvetica Neue" w:cs="Helvetica Neue" w:eastAsia="Helvetica Neue" w:hAnsi="Helvetica Neue"/>
                <w:color w:val="1a1a1a"/>
                <w:sz w:val="22"/>
                <w:szCs w:val="22"/>
                <w:rtl w:val="0"/>
              </w:rPr>
              <w:t xml:space="preserve">iii) recepisce i chiarimenti più recenti emersi in seno all’Expert Group della Commissione europea</w:t>
            </w:r>
          </w:p>
        </w:tc>
        <w:tc>
          <w:tcPr/>
          <w:p w:rsidR="00000000" w:rsidDel="00000000" w:rsidP="00000000" w:rsidRDefault="00000000" w:rsidRPr="00000000" w14:paraId="0000003A">
            <w:pPr>
              <w:spacing w:before="0" w:lineRule="auto"/>
              <w:rPr>
                <w:rFonts w:ascii="Helvetica Neue" w:cs="Helvetica Neue" w:eastAsia="Helvetica Neue" w:hAnsi="Helvetica Neue"/>
                <w:color w:val="1a1a1a"/>
                <w:sz w:val="22"/>
                <w:szCs w:val="22"/>
              </w:rPr>
            </w:pPr>
            <w:r w:rsidDel="00000000" w:rsidR="00000000" w:rsidRPr="00000000">
              <w:rPr>
                <w:rtl w:val="0"/>
              </w:rPr>
              <w:t xml:space="preserve">Circolare n. 34 del 17 ottobre 2022</w:t>
            </w:r>
            <w:r w:rsidDel="00000000" w:rsidR="00000000" w:rsidRPr="00000000">
              <w:rPr>
                <w:rtl w:val="0"/>
              </w:rPr>
            </w:r>
          </w:p>
        </w:tc>
        <w:tc>
          <w:tcPr/>
          <w:p w:rsidR="00000000" w:rsidDel="00000000" w:rsidP="00000000" w:rsidRDefault="00000000" w:rsidRPr="00000000" w14:paraId="0000003B">
            <w:pPr>
              <w:spacing w:before="0" w:lineRule="auto"/>
              <w:rPr>
                <w:rFonts w:ascii="Helvetica Neue" w:cs="Helvetica Neue" w:eastAsia="Helvetica Neue" w:hAnsi="Helvetica Neue"/>
                <w:color w:val="1a1a1a"/>
                <w:sz w:val="22"/>
                <w:szCs w:val="22"/>
              </w:rPr>
            </w:pPr>
            <w:r w:rsidDel="00000000" w:rsidR="00000000" w:rsidRPr="00000000">
              <w:rPr>
                <w:rtl w:val="0"/>
              </w:rPr>
              <w:t xml:space="preserve">Nessuna</w:t>
            </w:r>
            <w:r w:rsidDel="00000000" w:rsidR="00000000" w:rsidRPr="00000000">
              <w:rPr>
                <w:rtl w:val="0"/>
              </w:rPr>
            </w:r>
          </w:p>
        </w:tc>
      </w:tr>
      <w:tr>
        <w:trPr>
          <w:cantSplit w:val="0"/>
          <w:trHeight w:val="904" w:hRule="atLeast"/>
          <w:tblHeader w:val="0"/>
        </w:trPr>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before="0" w:lineRule="auto"/>
              <w:rPr>
                <w:rFonts w:ascii="Arial" w:cs="Arial" w:eastAsia="Arial" w:hAnsi="Arial"/>
                <w:b w:val="1"/>
                <w:bCs w:val="1"/>
                <w:color w:val="374151"/>
                <w:sz w:val="21"/>
                <w:szCs w:val="21"/>
              </w:rPr>
            </w:pPr>
            <w:r w:rsidDel="00000000" w:rsidR="00000000" w:rsidRPr="00000000">
              <w:rPr>
                <w:rFonts w:ascii="Arial" w:cs="Arial" w:eastAsia="Arial" w:hAnsi="Arial"/>
                <w:b w:val="1"/>
                <w:bCs w:val="1"/>
                <w:color w:val="374151"/>
                <w:sz w:val="21"/>
                <w:szCs w:val="21"/>
                <w:rtl w:val="0"/>
              </w:rPr>
              <w:t xml:space="preserve">2024</w:t>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0" w:lineRule="auto"/>
              <w:rPr>
                <w:color w:val="0000ff"/>
                <w:u w:val="single"/>
              </w:rPr>
            </w:pPr>
            <w:hyperlink r:id="rId11">
              <w:r w:rsidDel="00000000" w:rsidR="00000000" w:rsidRPr="00000000">
                <w:rPr>
                  <w:color w:val="0000ff"/>
                  <w:u w:val="single"/>
                  <w:rtl w:val="0"/>
                </w:rPr>
                <w:t xml:space="preserve">31 maggio 2024, n. 29</w:t>
              </w:r>
            </w:hyperlink>
            <w:r w:rsidDel="00000000" w:rsidR="00000000" w:rsidRPr="00000000">
              <w:rPr>
                <w:rtl w:val="0"/>
              </w:rPr>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60" w:before="0" w:line="264" w:lineRule="auto"/>
              <w:rPr>
                <w:rFonts w:ascii="Arial" w:cs="Arial" w:eastAsia="Arial" w:hAnsi="Arial"/>
                <w:color w:val="374151"/>
                <w:sz w:val="21"/>
                <w:szCs w:val="21"/>
              </w:rPr>
            </w:pPr>
            <w:r w:rsidDel="00000000" w:rsidR="00000000" w:rsidRPr="00000000">
              <w:rPr>
                <w:rFonts w:ascii="Helvetica Neue" w:cs="Helvetica Neue" w:eastAsia="Helvetica Neue" w:hAnsi="Helvetica Neue"/>
                <w:color w:val="1a1a1a"/>
                <w:sz w:val="22"/>
                <w:szCs w:val="22"/>
                <w:rtl w:val="0"/>
              </w:rPr>
              <w:t xml:space="preserve">Rendicontazione Milestone/Target (M&amp;T) connessi alla sesta “Richiesta di pagamento” alla C.E.</w:t>
            </w:r>
            <w:r w:rsidDel="00000000" w:rsidR="00000000" w:rsidRPr="00000000">
              <w:rPr>
                <w:rtl w:val="0"/>
              </w:rPr>
            </w:r>
          </w:p>
        </w:tc>
        <w:tc>
          <w:tcPr/>
          <w:p w:rsidR="00000000" w:rsidDel="00000000" w:rsidP="00000000" w:rsidRDefault="00000000" w:rsidRPr="00000000" w14:paraId="0000003F">
            <w:pPr>
              <w:spacing w:before="0" w:lineRule="auto"/>
              <w:rPr>
                <w:rFonts w:ascii="Helvetica Neue" w:cs="Helvetica Neue" w:eastAsia="Helvetica Neue" w:hAnsi="Helvetica Neue"/>
                <w:color w:val="1a1a1a"/>
                <w:sz w:val="22"/>
                <w:szCs w:val="22"/>
              </w:rPr>
            </w:pPr>
            <w:r w:rsidDel="00000000" w:rsidR="00000000" w:rsidRPr="00000000">
              <w:rPr>
                <w:rFonts w:ascii="Helvetica Neue" w:cs="Helvetica Neue" w:eastAsia="Helvetica Neue" w:hAnsi="Helvetica Neue"/>
                <w:color w:val="1a1a1a"/>
                <w:sz w:val="22"/>
                <w:szCs w:val="22"/>
                <w:rtl w:val="0"/>
              </w:rPr>
              <w:t xml:space="preserve">Con la circolare del 31 maggio 2024, n. 29 si rende noto che le attività di rendicontazione finale su “ReGiS”, connesse a Milestone/Target con scadenza nei trimestri T1 e T2 2024, dovranno essere concluse entro e non oltre venerdì 21 giugno.</w:t>
            </w:r>
          </w:p>
        </w:tc>
        <w:tc>
          <w:tcPr/>
          <w:p w:rsidR="00000000" w:rsidDel="00000000" w:rsidP="00000000" w:rsidRDefault="00000000" w:rsidRPr="00000000" w14:paraId="00000040">
            <w:pPr>
              <w:spacing w:before="0" w:lineRule="auto"/>
              <w:rPr>
                <w:rFonts w:ascii="Helvetica Neue" w:cs="Helvetica Neue" w:eastAsia="Helvetica Neue" w:hAnsi="Helvetica Neue"/>
                <w:color w:val="1a1a1a"/>
                <w:sz w:val="22"/>
                <w:szCs w:val="22"/>
              </w:rPr>
            </w:pPr>
            <w:r w:rsidDel="00000000" w:rsidR="00000000" w:rsidRPr="00000000">
              <w:rPr>
                <w:rtl w:val="0"/>
              </w:rPr>
              <w:t xml:space="preserve">Nessuna</w:t>
            </w:r>
            <w:r w:rsidDel="00000000" w:rsidR="00000000" w:rsidRPr="00000000">
              <w:rPr>
                <w:rtl w:val="0"/>
              </w:rPr>
            </w:r>
          </w:p>
        </w:tc>
        <w:tc>
          <w:tcPr/>
          <w:p w:rsidR="00000000" w:rsidDel="00000000" w:rsidP="00000000" w:rsidRDefault="00000000" w:rsidRPr="00000000" w14:paraId="00000041">
            <w:pPr>
              <w:spacing w:before="0" w:lineRule="auto"/>
              <w:rPr>
                <w:rFonts w:ascii="Helvetica Neue" w:cs="Helvetica Neue" w:eastAsia="Helvetica Neue" w:hAnsi="Helvetica Neue"/>
                <w:color w:val="1a1a1a"/>
                <w:sz w:val="22"/>
                <w:szCs w:val="22"/>
              </w:rPr>
            </w:pPr>
            <w:r w:rsidDel="00000000" w:rsidR="00000000" w:rsidRPr="00000000">
              <w:rPr>
                <w:rtl w:val="0"/>
              </w:rPr>
              <w:t xml:space="preserve">Nessuna</w:t>
            </w:r>
            <w:r w:rsidDel="00000000" w:rsidR="00000000" w:rsidRPr="00000000">
              <w:rPr>
                <w:rtl w:val="0"/>
              </w:rPr>
            </w:r>
          </w:p>
        </w:tc>
      </w:tr>
      <w:tr>
        <w:trPr>
          <w:cantSplit w:val="0"/>
          <w:trHeight w:val="904" w:hRule="atLeast"/>
          <w:tblHeader w:val="0"/>
        </w:trPr>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before="0" w:lineRule="auto"/>
              <w:rPr>
                <w:rFonts w:ascii="Arial" w:cs="Arial" w:eastAsia="Arial" w:hAnsi="Arial"/>
                <w:b w:val="1"/>
                <w:bCs w:val="1"/>
                <w:color w:val="374151"/>
                <w:sz w:val="21"/>
                <w:szCs w:val="21"/>
              </w:rPr>
            </w:pPr>
            <w:r w:rsidDel="00000000" w:rsidR="00000000" w:rsidRPr="00000000">
              <w:rPr>
                <w:rFonts w:ascii="Arial" w:cs="Arial" w:eastAsia="Arial" w:hAnsi="Arial"/>
                <w:b w:val="1"/>
                <w:bCs w:val="1"/>
                <w:color w:val="374151"/>
                <w:sz w:val="21"/>
                <w:szCs w:val="21"/>
                <w:rtl w:val="0"/>
              </w:rPr>
              <w:t xml:space="preserve">2024</w:t>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0" w:lineRule="auto"/>
              <w:rPr>
                <w:color w:val="0000ff"/>
                <w:u w:val="single"/>
              </w:rPr>
            </w:pPr>
            <w:hyperlink r:id="rId12">
              <w:r w:rsidDel="00000000" w:rsidR="00000000" w:rsidRPr="00000000">
                <w:rPr>
                  <w:color w:val="0000ff"/>
                  <w:u w:val="single"/>
                  <w:rtl w:val="0"/>
                </w:rPr>
                <w:t xml:space="preserve">17 maggio 2024, n. 27</w:t>
              </w:r>
            </w:hyperlink>
            <w:r w:rsidDel="00000000" w:rsidR="00000000" w:rsidRPr="00000000">
              <w:rPr>
                <w:rtl w:val="0"/>
              </w:rPr>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260" w:before="0" w:line="264" w:lineRule="auto"/>
              <w:rPr>
                <w:rFonts w:ascii="Arial" w:cs="Arial" w:eastAsia="Arial" w:hAnsi="Arial"/>
                <w:color w:val="374151"/>
                <w:sz w:val="21"/>
                <w:szCs w:val="21"/>
              </w:rPr>
            </w:pPr>
            <w:r w:rsidDel="00000000" w:rsidR="00000000" w:rsidRPr="00000000">
              <w:rPr>
                <w:rFonts w:ascii="Helvetica Neue" w:cs="Helvetica Neue" w:eastAsia="Helvetica Neue" w:hAnsi="Helvetica Neue"/>
                <w:color w:val="1a1a1a"/>
                <w:sz w:val="22"/>
                <w:szCs w:val="22"/>
                <w:rtl w:val="0"/>
              </w:rPr>
              <w:t xml:space="preserve">Monitoraggio delle misure del Piano nazionale di ripresa e resilienza (PNRR) e della Politica di Coesione per il periodo di programmazione 2021-2027. Protocollo Unico di Colloquio, versione 3.0 e PUC Applicativo versione 1.0.</w:t>
            </w:r>
            <w:r w:rsidDel="00000000" w:rsidR="00000000" w:rsidRPr="00000000">
              <w:rPr>
                <w:rtl w:val="0"/>
              </w:rPr>
            </w:r>
          </w:p>
        </w:tc>
        <w:tc>
          <w:tcPr/>
          <w:p w:rsidR="00000000" w:rsidDel="00000000" w:rsidP="00000000" w:rsidRDefault="00000000" w:rsidRPr="00000000" w14:paraId="00000045">
            <w:pPr>
              <w:spacing w:before="0" w:lineRule="auto"/>
              <w:rPr>
                <w:rFonts w:ascii="Helvetica Neue" w:cs="Helvetica Neue" w:eastAsia="Helvetica Neue" w:hAnsi="Helvetica Neue"/>
                <w:color w:val="1a1a1a"/>
                <w:sz w:val="22"/>
                <w:szCs w:val="22"/>
              </w:rPr>
            </w:pPr>
            <w:r w:rsidDel="00000000" w:rsidR="00000000" w:rsidRPr="00000000">
              <w:rPr>
                <w:rFonts w:ascii="Helvetica Neue" w:cs="Helvetica Neue" w:eastAsia="Helvetica Neue" w:hAnsi="Helvetica Neue"/>
                <w:color w:val="1a1a1a"/>
                <w:sz w:val="22"/>
                <w:szCs w:val="22"/>
                <w:rtl w:val="0"/>
              </w:rPr>
              <w:t xml:space="preserve">Il “Protocollo Unico di Colloquio RGS" reca il tracciato unico per il monitoraggio delle misure PNRR e degli interventi relativi ai progetti di investimento pubblico finanziati dai Fondi europei, dal Fondo di Sviluppo e Coesione (FSC) e da altre fonti nazionali della politica di coesione per il periodo 2021-2027. Tale documento definisce le informazioni per le quali le Amministrazioni devono assicurare, per gli interventi di rispettiva competenza, la rilevazione dei dati di attuazione finanziaria, fisica e procedurale a livello di singolo progetto e delle procedure di attivazione degli interventi. Al fine di fornire alle Amministrazioni responsabili le informazioni necessarie per la trasmissione puntuale dei dati e la gestione del colloquio tra i sistemi informativi locali e il sistema ReGiS quale sistema nazionale di monitoraggio, si rendono disponibili la versione aggiornata del Protocollo Unico di Colloquio (v. 3.0) e il Protocollo Applicativo versione 1.0.</w:t>
            </w:r>
          </w:p>
        </w:tc>
        <w:tc>
          <w:tcPr/>
          <w:p w:rsidR="00000000" w:rsidDel="00000000" w:rsidP="00000000" w:rsidRDefault="00000000" w:rsidRPr="00000000" w14:paraId="00000046">
            <w:pPr>
              <w:spacing w:before="0" w:lineRule="auto"/>
              <w:rPr>
                <w:rFonts w:ascii="Helvetica Neue" w:cs="Helvetica Neue" w:eastAsia="Helvetica Neue" w:hAnsi="Helvetica Neue"/>
                <w:color w:val="1a1a1a"/>
                <w:sz w:val="22"/>
                <w:szCs w:val="22"/>
              </w:rPr>
            </w:pPr>
            <w:r w:rsidDel="00000000" w:rsidR="00000000" w:rsidRPr="00000000">
              <w:rPr>
                <w:rFonts w:ascii="Helvetica Neue" w:cs="Helvetica Neue" w:eastAsia="Helvetica Neue" w:hAnsi="Helvetica Neue"/>
                <w:color w:val="1a1a1a"/>
                <w:sz w:val="22"/>
                <w:szCs w:val="22"/>
                <w:rtl w:val="0"/>
              </w:rPr>
              <w:t xml:space="preserve">Circolare  n. 2 del 18 gennaio 2024</w:t>
            </w:r>
          </w:p>
        </w:tc>
        <w:tc>
          <w:tcPr/>
          <w:p w:rsidR="00000000" w:rsidDel="00000000" w:rsidP="00000000" w:rsidRDefault="00000000" w:rsidRPr="00000000" w14:paraId="00000047">
            <w:pPr>
              <w:spacing w:before="0" w:lineRule="auto"/>
              <w:rPr>
                <w:rFonts w:ascii="Helvetica Neue" w:cs="Helvetica Neue" w:eastAsia="Helvetica Neue" w:hAnsi="Helvetica Neue"/>
                <w:color w:val="1a1a1a"/>
                <w:sz w:val="22"/>
                <w:szCs w:val="22"/>
              </w:rPr>
            </w:pPr>
            <w:r w:rsidDel="00000000" w:rsidR="00000000" w:rsidRPr="00000000">
              <w:rPr>
                <w:rFonts w:ascii="Helvetica Neue" w:cs="Helvetica Neue" w:eastAsia="Helvetica Neue" w:hAnsi="Helvetica Neue"/>
                <w:color w:val="1a1a1a"/>
                <w:sz w:val="22"/>
                <w:szCs w:val="22"/>
                <w:rtl w:val="0"/>
              </w:rPr>
              <w:t xml:space="preserve">Circolare n. 35 del 10 ottobre 2024</w:t>
            </w:r>
          </w:p>
        </w:tc>
      </w:tr>
      <w:tr>
        <w:trPr>
          <w:cantSplit w:val="0"/>
          <w:trHeight w:val="904" w:hRule="atLeast"/>
          <w:tblHeader w:val="0"/>
        </w:trPr>
        <w:tc>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before="0" w:lineRule="auto"/>
              <w:rPr>
                <w:rFonts w:ascii="Arial" w:cs="Arial" w:eastAsia="Arial" w:hAnsi="Arial"/>
                <w:b w:val="1"/>
                <w:bCs w:val="1"/>
                <w:color w:val="374151"/>
                <w:sz w:val="21"/>
                <w:szCs w:val="21"/>
              </w:rPr>
            </w:pPr>
            <w:r w:rsidDel="00000000" w:rsidR="00000000" w:rsidRPr="00000000">
              <w:rPr>
                <w:rFonts w:ascii="Arial" w:cs="Arial" w:eastAsia="Arial" w:hAnsi="Arial"/>
                <w:b w:val="1"/>
                <w:bCs w:val="1"/>
                <w:color w:val="374151"/>
                <w:sz w:val="21"/>
                <w:szCs w:val="21"/>
                <w:rtl w:val="0"/>
              </w:rPr>
              <w:t xml:space="preserve">2024</w:t>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before="0" w:lineRule="auto"/>
              <w:rPr>
                <w:color w:val="0000ff"/>
                <w:u w:val="single"/>
              </w:rPr>
            </w:pPr>
            <w:hyperlink r:id="rId13">
              <w:r w:rsidDel="00000000" w:rsidR="00000000" w:rsidRPr="00000000">
                <w:rPr>
                  <w:color w:val="0000ff"/>
                  <w:u w:val="single"/>
                  <w:rtl w:val="0"/>
                </w:rPr>
                <w:t xml:space="preserve">14 maggio 2024, n. 22</w:t>
              </w:r>
            </w:hyperlink>
            <w:r w:rsidDel="00000000" w:rsidR="00000000" w:rsidRPr="00000000">
              <w:rPr>
                <w:rtl w:val="0"/>
              </w:rPr>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Aggiornamento Guida operativa per il rispetto del principio di non arrecare danno significativo all'ambiente (cd. DNSH)</w:t>
            </w:r>
          </w:p>
        </w:tc>
        <w:tc>
          <w:tcPr/>
          <w:p w:rsidR="00000000" w:rsidDel="00000000" w:rsidP="00000000" w:rsidRDefault="00000000" w:rsidRPr="00000000" w14:paraId="0000004B">
            <w:pPr>
              <w:spacing w:before="0" w:lineRule="auto"/>
              <w:rPr>
                <w:rFonts w:ascii="Helvetica Neue" w:cs="Helvetica Neue" w:eastAsia="Helvetica Neue" w:hAnsi="Helvetica Neue"/>
                <w:color w:val="1a1a1a"/>
                <w:sz w:val="22"/>
                <w:szCs w:val="22"/>
              </w:rPr>
            </w:pPr>
            <w:r w:rsidDel="00000000" w:rsidR="00000000" w:rsidRPr="00000000">
              <w:rPr>
                <w:rFonts w:ascii="Helvetica Neue" w:cs="Helvetica Neue" w:eastAsia="Helvetica Neue" w:hAnsi="Helvetica Neue"/>
                <w:color w:val="1a1a1a"/>
                <w:sz w:val="22"/>
                <w:szCs w:val="22"/>
                <w:rtl w:val="0"/>
              </w:rPr>
              <w:t xml:space="preserve">Il Dispositivo per la ripresa e la resilienza (Regolamento UE 241/2021) stabilisce all'articolo 18 che tutte le misure dei Piani nazionali per la ripresa e resilienza (PNRR), sia riforme che investimenti, debbano soddisfare il principio di “non arrecare danno significativo agli obiettivi ambientali”.</w:t>
            </w:r>
          </w:p>
          <w:p w:rsidR="00000000" w:rsidDel="00000000" w:rsidP="00000000" w:rsidRDefault="00000000" w:rsidRPr="00000000" w14:paraId="0000004C">
            <w:pPr>
              <w:spacing w:before="0" w:lineRule="auto"/>
              <w:rPr>
                <w:rFonts w:ascii="Helvetica Neue" w:cs="Helvetica Neue" w:eastAsia="Helvetica Neue" w:hAnsi="Helvetica Neue"/>
                <w:color w:val="1a1a1a"/>
                <w:sz w:val="22"/>
                <w:szCs w:val="22"/>
              </w:rPr>
            </w:pPr>
            <w:r w:rsidDel="00000000" w:rsidR="00000000" w:rsidRPr="00000000">
              <w:rPr>
                <w:rtl w:val="0"/>
              </w:rPr>
            </w:r>
          </w:p>
          <w:p w:rsidR="00000000" w:rsidDel="00000000" w:rsidP="00000000" w:rsidRDefault="00000000" w:rsidRPr="00000000" w14:paraId="0000004D">
            <w:pPr>
              <w:spacing w:before="0" w:lineRule="auto"/>
              <w:rPr>
                <w:rFonts w:ascii="Helvetica Neue" w:cs="Helvetica Neue" w:eastAsia="Helvetica Neue" w:hAnsi="Helvetica Neue"/>
                <w:color w:val="1a1a1a"/>
                <w:sz w:val="22"/>
                <w:szCs w:val="22"/>
              </w:rPr>
            </w:pPr>
            <w:r w:rsidDel="00000000" w:rsidR="00000000" w:rsidRPr="00000000">
              <w:rPr>
                <w:rFonts w:ascii="Helvetica Neue" w:cs="Helvetica Neue" w:eastAsia="Helvetica Neue" w:hAnsi="Helvetica Neue"/>
                <w:color w:val="1a1a1a"/>
                <w:sz w:val="22"/>
                <w:szCs w:val="22"/>
                <w:rtl w:val="0"/>
              </w:rPr>
              <w:t xml:space="preserve">Tale vincolo si traduce in una valutazione di conformità degli interventi al principio del ''Do No Significant Harm'' (DNSH), con riferimento al sistema di Tassonomia delle attività ecosostenibili, di cui all'articolo 17 del Regolamento (UE) 2020/852 ex-ante, in itinere e ex-post. Al fine assistere le Amministrazioni titolari di misure e i Soggetti attuatori degli interventi ad assicurare il rispetto del principio DNSH, è stato previsto un aggiornamento della Guida Operativa per il rispetto del principio di non arrecare danno significativo all'ambiente emanata con la circolare n.33 della RGS in data 13 ottobre 2022.</w:t>
            </w:r>
          </w:p>
          <w:p w:rsidR="00000000" w:rsidDel="00000000" w:rsidP="00000000" w:rsidRDefault="00000000" w:rsidRPr="00000000" w14:paraId="0000004E">
            <w:pPr>
              <w:spacing w:before="0" w:lineRule="auto"/>
              <w:rPr>
                <w:rFonts w:ascii="Helvetica Neue" w:cs="Helvetica Neue" w:eastAsia="Helvetica Neue" w:hAnsi="Helvetica Neue"/>
                <w:color w:val="1a1a1a"/>
                <w:sz w:val="22"/>
                <w:szCs w:val="22"/>
              </w:rPr>
            </w:pPr>
            <w:r w:rsidDel="00000000" w:rsidR="00000000" w:rsidRPr="00000000">
              <w:rPr>
                <w:rtl w:val="0"/>
              </w:rPr>
            </w:r>
          </w:p>
          <w:p w:rsidR="00000000" w:rsidDel="00000000" w:rsidP="00000000" w:rsidRDefault="00000000" w:rsidRPr="00000000" w14:paraId="0000004F">
            <w:pPr>
              <w:spacing w:before="0" w:lineRule="auto"/>
              <w:rPr>
                <w:rFonts w:ascii="Helvetica Neue" w:cs="Helvetica Neue" w:eastAsia="Helvetica Neue" w:hAnsi="Helvetica Neue"/>
                <w:color w:val="1a1a1a"/>
                <w:sz w:val="22"/>
                <w:szCs w:val="22"/>
              </w:rPr>
            </w:pPr>
            <w:r w:rsidDel="00000000" w:rsidR="00000000" w:rsidRPr="00000000">
              <w:rPr>
                <w:rFonts w:ascii="Helvetica Neue" w:cs="Helvetica Neue" w:eastAsia="Helvetica Neue" w:hAnsi="Helvetica Neue"/>
                <w:color w:val="1a1a1a"/>
                <w:sz w:val="22"/>
                <w:szCs w:val="22"/>
                <w:rtl w:val="0"/>
              </w:rPr>
              <w:t xml:space="preserve">Le principali novità della Guida Operativa aggiornata, allegata alla circolare, riguardano:</w:t>
            </w:r>
          </w:p>
          <w:p w:rsidR="00000000" w:rsidDel="00000000" w:rsidP="00000000" w:rsidRDefault="00000000" w:rsidRPr="00000000" w14:paraId="000000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22" w:right="0" w:hanging="360"/>
              <w:jc w:val="left"/>
              <w:rPr>
                <w:rFonts w:ascii="Helvetica Neue" w:cs="Helvetica Neue" w:eastAsia="Helvetica Neue" w:hAnsi="Helvetica Neue"/>
                <w:b w:val="0"/>
                <w:bCs w:val="0"/>
                <w:i w:val="0"/>
                <w:iCs w:val="0"/>
                <w:smallCaps w:val="0"/>
                <w:strike w:val="0"/>
                <w:color w:val="1a1a1a"/>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1a1a1a"/>
                <w:sz w:val="22"/>
                <w:szCs w:val="22"/>
                <w:u w:val="none"/>
                <w:shd w:fill="auto" w:val="clear"/>
                <w:vertAlign w:val="baseline"/>
                <w:rtl w:val="0"/>
              </w:rPr>
              <w:t xml:space="preserve">l’inclusione di ulteriori schede tecniche necessarie a seguito dell’inserimento di nuove misure nell’ambito della riprogrammazione del PNRR e la revisione di alcune schede precedenti per tenere conto dell’evoluzione della normativa ambientale;</w:t>
            </w:r>
          </w:p>
          <w:p w:rsidR="00000000" w:rsidDel="00000000" w:rsidP="00000000" w:rsidRDefault="00000000" w:rsidRPr="00000000" w14:paraId="0000005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22" w:right="0" w:hanging="360"/>
              <w:jc w:val="left"/>
              <w:rPr>
                <w:rFonts w:ascii="Helvetica Neue" w:cs="Helvetica Neue" w:eastAsia="Helvetica Neue" w:hAnsi="Helvetica Neue"/>
                <w:b w:val="0"/>
                <w:bCs w:val="0"/>
                <w:i w:val="0"/>
                <w:iCs w:val="0"/>
                <w:smallCaps w:val="0"/>
                <w:strike w:val="0"/>
                <w:color w:val="1a1a1a"/>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1a1a1a"/>
                <w:sz w:val="22"/>
                <w:szCs w:val="22"/>
                <w:u w:val="none"/>
                <w:shd w:fill="auto" w:val="clear"/>
                <w:vertAlign w:val="baseline"/>
                <w:rtl w:val="0"/>
              </w:rPr>
              <w:t xml:space="preserve">un maggiore allineamento con i criteri contenuti negli Orientamenti tecnici sull'applicazione del principio "non arrecare un danno significativo" a norma del Regolamento sul dispositivo per la ripresa e la resilienza della Commissione europea;</w:t>
            </w:r>
          </w:p>
          <w:p w:rsidR="00000000" w:rsidDel="00000000" w:rsidP="00000000" w:rsidRDefault="00000000" w:rsidRPr="00000000" w14:paraId="0000005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22" w:right="0" w:hanging="360"/>
              <w:jc w:val="left"/>
              <w:rPr>
                <w:rFonts w:ascii="Helvetica Neue" w:cs="Helvetica Neue" w:eastAsia="Helvetica Neue" w:hAnsi="Helvetica Neue"/>
                <w:b w:val="0"/>
                <w:bCs w:val="0"/>
                <w:i w:val="0"/>
                <w:iCs w:val="0"/>
                <w:smallCaps w:val="0"/>
                <w:strike w:val="0"/>
                <w:color w:val="1a1a1a"/>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1a1a1a"/>
                <w:sz w:val="22"/>
                <w:szCs w:val="22"/>
                <w:u w:val="none"/>
                <w:shd w:fill="auto" w:val="clear"/>
                <w:vertAlign w:val="baseline"/>
                <w:rtl w:val="0"/>
              </w:rPr>
              <w:t xml:space="preserve">il recepimento delle indicazioni del Regolamento Delegato (UE) 2023/2486, pubblicato a giugno 2023, che introduce criteri di vaglio tecnico per gli obiettivi Uso sostenibile e protezione delle acque e delle risorse marine, Economia circolare, compresi la prevenzione ed il riciclaggio dei rifiuti, Prevenzione e riduzione dell'inquinamento dell’area, dell’acqua o del suolo, Protezione e ripristino della biodiversità e degli ecosistemi.</w:t>
            </w:r>
          </w:p>
          <w:p w:rsidR="00000000" w:rsidDel="00000000" w:rsidP="00000000" w:rsidRDefault="00000000" w:rsidRPr="00000000" w14:paraId="0000005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22" w:right="0" w:hanging="360"/>
              <w:jc w:val="left"/>
              <w:rPr>
                <w:rFonts w:ascii="Helvetica Neue" w:cs="Helvetica Neue" w:eastAsia="Helvetica Neue" w:hAnsi="Helvetica Neue"/>
                <w:b w:val="0"/>
                <w:bCs w:val="0"/>
                <w:i w:val="0"/>
                <w:iCs w:val="0"/>
                <w:smallCaps w:val="0"/>
                <w:strike w:val="0"/>
                <w:color w:val="1a1a1a"/>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1a1a1a"/>
                <w:sz w:val="22"/>
                <w:szCs w:val="22"/>
                <w:u w:val="none"/>
                <w:shd w:fill="auto" w:val="clear"/>
                <w:vertAlign w:val="baseline"/>
                <w:rtl w:val="0"/>
              </w:rPr>
              <w:t xml:space="preserve">La specificazione degli elementi di comprova da caricare sul sistema ReGiS nelle fasi principali dell’attuazione;</w:t>
            </w:r>
          </w:p>
          <w:p w:rsidR="00000000" w:rsidDel="00000000" w:rsidP="00000000" w:rsidRDefault="00000000" w:rsidRPr="00000000" w14:paraId="0000005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322" w:right="0" w:hanging="360"/>
              <w:jc w:val="left"/>
              <w:rPr>
                <w:rFonts w:ascii="Helvetica Neue" w:cs="Helvetica Neue" w:eastAsia="Helvetica Neue" w:hAnsi="Helvetica Neue"/>
                <w:b w:val="0"/>
                <w:bCs w:val="0"/>
                <w:i w:val="0"/>
                <w:iCs w:val="0"/>
                <w:smallCaps w:val="0"/>
                <w:strike w:val="0"/>
                <w:color w:val="1a1a1a"/>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1a1a1a"/>
                <w:sz w:val="22"/>
                <w:szCs w:val="22"/>
                <w:u w:val="none"/>
                <w:shd w:fill="auto" w:val="clear"/>
                <w:vertAlign w:val="baseline"/>
                <w:rtl w:val="0"/>
              </w:rPr>
              <w:t xml:space="preserve">l’individuazione, per specifiche attività, dei Criteri Ambientali Minimi (CAM) di cui all’articolo 57 del Codice dei contratti pubblici (D.lgs. 36/2023) che consentono di assicurare il rispetto dei vincoli DNSH di interesse.</w:t>
            </w:r>
          </w:p>
        </w:tc>
        <w:tc>
          <w:tcPr/>
          <w:p w:rsidR="00000000" w:rsidDel="00000000" w:rsidP="00000000" w:rsidRDefault="00000000" w:rsidRPr="00000000" w14:paraId="00000055">
            <w:pPr>
              <w:spacing w:before="0" w:lineRule="auto"/>
              <w:rPr>
                <w:rFonts w:ascii="Helvetica Neue" w:cs="Helvetica Neue" w:eastAsia="Helvetica Neue" w:hAnsi="Helvetica Neue"/>
                <w:color w:val="1a1a1a"/>
                <w:sz w:val="22"/>
                <w:szCs w:val="22"/>
              </w:rPr>
            </w:pPr>
            <w:r w:rsidDel="00000000" w:rsidR="00000000" w:rsidRPr="00000000">
              <w:rPr>
                <w:rtl w:val="0"/>
              </w:rPr>
              <w:t xml:space="preserve">Circolare n. 32 del 30 dicembre 2021 e n. 33 del 13 ottobre 2022</w:t>
            </w:r>
            <w:r w:rsidDel="00000000" w:rsidR="00000000" w:rsidRPr="00000000">
              <w:rPr>
                <w:rtl w:val="0"/>
              </w:rPr>
            </w:r>
          </w:p>
        </w:tc>
        <w:tc>
          <w:tcPr/>
          <w:p w:rsidR="00000000" w:rsidDel="00000000" w:rsidP="00000000" w:rsidRDefault="00000000" w:rsidRPr="00000000" w14:paraId="00000056">
            <w:pPr>
              <w:spacing w:before="0" w:lineRule="auto"/>
              <w:rPr>
                <w:rFonts w:ascii="Helvetica Neue" w:cs="Helvetica Neue" w:eastAsia="Helvetica Neue" w:hAnsi="Helvetica Neue"/>
                <w:color w:val="1a1a1a"/>
                <w:sz w:val="22"/>
                <w:szCs w:val="22"/>
              </w:rPr>
            </w:pPr>
            <w:r w:rsidDel="00000000" w:rsidR="00000000" w:rsidRPr="00000000">
              <w:rPr>
                <w:rtl w:val="0"/>
              </w:rPr>
              <w:t xml:space="preserve">Nessuna</w:t>
            </w:r>
            <w:r w:rsidDel="00000000" w:rsidR="00000000" w:rsidRPr="00000000">
              <w:rPr>
                <w:rtl w:val="0"/>
              </w:rPr>
            </w:r>
          </w:p>
        </w:tc>
      </w:tr>
      <w:tr>
        <w:trPr>
          <w:cantSplit w:val="0"/>
          <w:trHeight w:val="904" w:hRule="atLeast"/>
          <w:tblHeader w:val="0"/>
        </w:trPr>
        <w:tc>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before="240" w:lineRule="auto"/>
              <w:rPr>
                <w:color w:val="0000ff"/>
                <w:u w:val="single"/>
              </w:rPr>
            </w:pPr>
            <w:r w:rsidDel="00000000" w:rsidR="00000000" w:rsidRPr="00000000">
              <w:rPr>
                <w:rFonts w:ascii="Arial" w:cs="Arial" w:eastAsia="Arial" w:hAnsi="Arial"/>
                <w:b w:val="1"/>
                <w:bCs w:val="1"/>
                <w:color w:val="374151"/>
                <w:sz w:val="21"/>
                <w:szCs w:val="21"/>
                <w:rtl w:val="0"/>
              </w:rPr>
              <w:t xml:space="preserve">2024</w:t>
            </w:r>
            <w:r w:rsidDel="00000000" w:rsidR="00000000" w:rsidRPr="00000000">
              <w:rPr>
                <w:rtl w:val="0"/>
              </w:rPr>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before="240" w:lineRule="auto"/>
              <w:rPr>
                <w:color w:val="0000ff"/>
                <w:u w:val="single"/>
              </w:rPr>
            </w:pPr>
            <w:hyperlink r:id="rId14">
              <w:r w:rsidDel="00000000" w:rsidR="00000000" w:rsidRPr="00000000">
                <w:rPr>
                  <w:color w:val="0000ff"/>
                  <w:u w:val="single"/>
                  <w:rtl w:val="0"/>
                </w:rPr>
                <w:t xml:space="preserve">13 maggio 2024, n. 21</w:t>
              </w:r>
            </w:hyperlink>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240" w:lineRule="auto"/>
              <w:rPr>
                <w:color w:val="0000ff"/>
                <w:u w:val="single"/>
              </w:rPr>
            </w:pPr>
            <w:r w:rsidDel="00000000" w:rsidR="00000000" w:rsidRPr="00000000">
              <w:rPr>
                <w:rtl w:val="0"/>
              </w:rPr>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260" w:before="0" w:line="264" w:lineRule="auto"/>
              <w:rPr>
                <w:rFonts w:ascii="Arial" w:cs="Arial" w:eastAsia="Arial" w:hAnsi="Arial"/>
                <w:color w:val="374151"/>
                <w:sz w:val="21"/>
                <w:szCs w:val="21"/>
              </w:rPr>
            </w:pPr>
            <w:bookmarkStart w:colFirst="0" w:colLast="0" w:name="_koea16k9v4uz" w:id="4"/>
            <w:bookmarkEnd w:id="4"/>
            <w:r w:rsidDel="00000000" w:rsidR="00000000" w:rsidRPr="00000000">
              <w:rPr>
                <w:rFonts w:ascii="Arial" w:cs="Arial" w:eastAsia="Arial" w:hAnsi="Arial"/>
                <w:color w:val="374151"/>
                <w:sz w:val="21"/>
                <w:szCs w:val="21"/>
                <w:rtl w:val="0"/>
              </w:rPr>
              <w:t xml:space="preserve">Indicazioni operative per l’attivazione delle anticipazioni di cui all’art. 11 del decreto-legge 2 marzo 2024, n. 19, convertito, con modificazioni, dalla legge 29 aprile 2024, n. 56.</w:t>
            </w:r>
          </w:p>
          <w:p w:rsidR="00000000" w:rsidDel="00000000" w:rsidP="00000000" w:rsidRDefault="00000000" w:rsidRPr="00000000" w14:paraId="0000005B">
            <w:pPr>
              <w:spacing w:before="0" w:lineRule="auto"/>
              <w:rPr>
                <w:rFonts w:ascii="Arial" w:cs="Arial" w:eastAsia="Arial" w:hAnsi="Arial"/>
                <w:color w:val="374151"/>
                <w:sz w:val="21"/>
                <w:szCs w:val="21"/>
              </w:rPr>
            </w:pPr>
            <w:r w:rsidDel="00000000" w:rsidR="00000000" w:rsidRPr="00000000">
              <w:rPr>
                <w:rtl w:val="0"/>
              </w:rPr>
            </w:r>
          </w:p>
        </w:tc>
        <w:tc>
          <w:tcPr/>
          <w:p w:rsidR="00000000" w:rsidDel="00000000" w:rsidP="00000000" w:rsidRDefault="00000000" w:rsidRPr="00000000" w14:paraId="0000005C">
            <w:pPr>
              <w:spacing w:after="620" w:before="460" w:lineRule="auto"/>
              <w:rPr>
                <w:rFonts w:ascii="Helvetica Neue" w:cs="Helvetica Neue" w:eastAsia="Helvetica Neue" w:hAnsi="Helvetica Neue"/>
                <w:color w:val="1a1a1a"/>
                <w:sz w:val="22"/>
                <w:szCs w:val="22"/>
              </w:rPr>
            </w:pPr>
            <w:bookmarkStart w:colFirst="0" w:colLast="0" w:name="_u24xdyiae952" w:id="5"/>
            <w:bookmarkEnd w:id="5"/>
            <w:r w:rsidDel="00000000" w:rsidR="00000000" w:rsidRPr="00000000">
              <w:rPr>
                <w:rFonts w:ascii="Helvetica Neue" w:cs="Helvetica Neue" w:eastAsia="Helvetica Neue" w:hAnsi="Helvetica Neue"/>
                <w:color w:val="1a1a1a"/>
                <w:sz w:val="22"/>
                <w:szCs w:val="22"/>
                <w:rtl w:val="0"/>
              </w:rPr>
              <w:t xml:space="preserve">La presente circolare è finalizzata a dare indicazioni operative in merito alle modalità di erogazione della quota di anticipazione stabilita, in via ordinaria, nella misura pari al 30% dell'importo del finanziamento PNRR, in luogo del 10% precedentemente previsto.</w:t>
            </w:r>
          </w:p>
          <w:p w:rsidR="00000000" w:rsidDel="00000000" w:rsidP="00000000" w:rsidRDefault="00000000" w:rsidRPr="00000000" w14:paraId="0000005D">
            <w:pPr>
              <w:spacing w:after="460" w:before="460" w:lineRule="auto"/>
              <w:rPr>
                <w:rFonts w:ascii="Helvetica Neue" w:cs="Helvetica Neue" w:eastAsia="Helvetica Neue" w:hAnsi="Helvetica Neue"/>
                <w:color w:val="1a1a1a"/>
                <w:sz w:val="22"/>
                <w:szCs w:val="22"/>
              </w:rPr>
            </w:pPr>
            <w:r w:rsidDel="00000000" w:rsidR="00000000" w:rsidRPr="00000000">
              <w:rPr>
                <w:rtl w:val="0"/>
              </w:rPr>
            </w:r>
          </w:p>
          <w:p w:rsidR="00000000" w:rsidDel="00000000" w:rsidP="00000000" w:rsidRDefault="00000000" w:rsidRPr="00000000" w14:paraId="0000005E">
            <w:pPr>
              <w:spacing w:before="240" w:lineRule="auto"/>
              <w:rPr>
                <w:rFonts w:ascii="Helvetica Neue" w:cs="Helvetica Neue" w:eastAsia="Helvetica Neue" w:hAnsi="Helvetica Neue"/>
                <w:color w:val="1a1a1a"/>
                <w:sz w:val="22"/>
                <w:szCs w:val="22"/>
              </w:rPr>
            </w:pPr>
            <w:r w:rsidDel="00000000" w:rsidR="00000000" w:rsidRPr="00000000">
              <w:rPr>
                <w:rtl w:val="0"/>
              </w:rPr>
            </w:r>
          </w:p>
        </w:tc>
        <w:tc>
          <w:tcPr/>
          <w:p w:rsidR="00000000" w:rsidDel="00000000" w:rsidP="00000000" w:rsidRDefault="00000000" w:rsidRPr="00000000" w14:paraId="0000005F">
            <w:pPr>
              <w:spacing w:after="620" w:before="460" w:lineRule="auto"/>
              <w:rPr>
                <w:rFonts w:ascii="Helvetica Neue" w:cs="Helvetica Neue" w:eastAsia="Helvetica Neue" w:hAnsi="Helvetica Neue"/>
                <w:color w:val="1a1a1a"/>
                <w:sz w:val="22"/>
                <w:szCs w:val="22"/>
              </w:rPr>
            </w:pPr>
            <w:r w:rsidDel="00000000" w:rsidR="00000000" w:rsidRPr="00000000">
              <w:rPr>
                <w:rtl w:val="0"/>
              </w:rPr>
              <w:t xml:space="preserve">Nessuna</w:t>
            </w:r>
            <w:r w:rsidDel="00000000" w:rsidR="00000000" w:rsidRPr="00000000">
              <w:rPr>
                <w:rtl w:val="0"/>
              </w:rPr>
            </w:r>
          </w:p>
        </w:tc>
        <w:tc>
          <w:tcPr/>
          <w:p w:rsidR="00000000" w:rsidDel="00000000" w:rsidP="00000000" w:rsidRDefault="00000000" w:rsidRPr="00000000" w14:paraId="00000060">
            <w:pPr>
              <w:spacing w:after="620" w:before="460" w:lineRule="auto"/>
              <w:rPr>
                <w:rFonts w:ascii="Helvetica Neue" w:cs="Helvetica Neue" w:eastAsia="Helvetica Neue" w:hAnsi="Helvetica Neue"/>
                <w:color w:val="1a1a1a"/>
                <w:sz w:val="22"/>
                <w:szCs w:val="22"/>
              </w:rPr>
            </w:pPr>
            <w:r w:rsidDel="00000000" w:rsidR="00000000" w:rsidRPr="00000000">
              <w:rPr>
                <w:rtl w:val="0"/>
              </w:rPr>
              <w:t xml:space="preserve">Nessuna</w:t>
            </w:r>
            <w:r w:rsidDel="00000000" w:rsidR="00000000" w:rsidRPr="00000000">
              <w:rPr>
                <w:rtl w:val="0"/>
              </w:rPr>
            </w:r>
          </w:p>
        </w:tc>
      </w:tr>
      <w:tr>
        <w:trPr>
          <w:cantSplit w:val="0"/>
          <w:trHeight w:val="904" w:hRule="atLeast"/>
          <w:tblHeader w:val="0"/>
        </w:trPr>
        <w:tc>
          <w:tcPr/>
          <w:p w:rsidR="00000000" w:rsidDel="00000000" w:rsidP="00000000" w:rsidRDefault="00000000" w:rsidRPr="00000000" w14:paraId="00000061">
            <w:pPr>
              <w:spacing w:before="240" w:lineRule="auto"/>
              <w:rPr>
                <w:rFonts w:ascii="Arial" w:cs="Arial" w:eastAsia="Arial" w:hAnsi="Arial"/>
                <w:b w:val="1"/>
                <w:bCs w:val="1"/>
                <w:color w:val="374151"/>
                <w:sz w:val="21"/>
                <w:szCs w:val="21"/>
              </w:rPr>
            </w:pPr>
            <w:r w:rsidDel="00000000" w:rsidR="00000000" w:rsidRPr="00000000">
              <w:rPr>
                <w:rFonts w:ascii="Arial" w:cs="Arial" w:eastAsia="Arial" w:hAnsi="Arial"/>
                <w:b w:val="1"/>
                <w:bCs w:val="1"/>
                <w:color w:val="374151"/>
                <w:sz w:val="21"/>
                <w:szCs w:val="21"/>
                <w:rtl w:val="0"/>
              </w:rPr>
              <w:t xml:space="preserve">2024</w:t>
            </w:r>
          </w:p>
        </w:tc>
        <w:tc>
          <w:tcPr/>
          <w:p w:rsidR="00000000" w:rsidDel="00000000" w:rsidP="00000000" w:rsidRDefault="00000000" w:rsidRPr="00000000" w14:paraId="00000062">
            <w:pPr>
              <w:spacing w:before="240" w:lineRule="auto"/>
              <w:rPr>
                <w:color w:val="0000ff"/>
                <w:u w:val="single"/>
              </w:rPr>
            </w:pPr>
            <w:hyperlink r:id="rId15">
              <w:r w:rsidDel="00000000" w:rsidR="00000000" w:rsidRPr="00000000">
                <w:rPr>
                  <w:color w:val="0000ff"/>
                  <w:u w:val="single"/>
                  <w:rtl w:val="0"/>
                </w:rPr>
                <w:t xml:space="preserve">9 aprile 2024, n. 17</w:t>
              </w:r>
            </w:hyperlink>
            <w:r w:rsidDel="00000000" w:rsidR="00000000" w:rsidRPr="00000000">
              <w:rPr>
                <w:rtl w:val="0"/>
              </w:rPr>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Riduzione dei tempi di pagamento</w:t>
            </w:r>
          </w:p>
        </w:tc>
        <w:tc>
          <w:tcPr/>
          <w:p w:rsidR="00000000" w:rsidDel="00000000" w:rsidP="00000000" w:rsidRDefault="00000000" w:rsidRPr="00000000" w14:paraId="00000064">
            <w:pPr>
              <w:spacing w:before="240" w:lineRule="auto"/>
              <w:rPr>
                <w:rFonts w:ascii="Helvetica Neue" w:cs="Helvetica Neue" w:eastAsia="Helvetica Neue" w:hAnsi="Helvetica Neue"/>
                <w:color w:val="1a1a1a"/>
                <w:sz w:val="22"/>
                <w:szCs w:val="22"/>
              </w:rPr>
            </w:pPr>
            <w:r w:rsidDel="00000000" w:rsidR="00000000" w:rsidRPr="00000000">
              <w:rPr>
                <w:rFonts w:ascii="Helvetica Neue" w:cs="Helvetica Neue" w:eastAsia="Helvetica Neue" w:hAnsi="Helvetica Neue"/>
                <w:color w:val="1a1a1a"/>
                <w:sz w:val="22"/>
                <w:szCs w:val="22"/>
                <w:rtl w:val="0"/>
              </w:rPr>
              <w:t xml:space="preserve">Nell’ambito della Riforma 1.11 del PNRR "Riduzione dei tempi di pagamento delle pubbliche amministrazioni e delle autorità sanitarie", la circolare intende fornire una ricognizione degli strumenti a disposizione degli enti locali per garantire la tempestività dei pagamenti.</w:t>
            </w:r>
          </w:p>
          <w:p w:rsidR="00000000" w:rsidDel="00000000" w:rsidP="00000000" w:rsidRDefault="00000000" w:rsidRPr="00000000" w14:paraId="00000065">
            <w:pPr>
              <w:spacing w:before="240" w:lineRule="auto"/>
              <w:rPr>
                <w:rFonts w:ascii="Helvetica Neue" w:cs="Helvetica Neue" w:eastAsia="Helvetica Neue" w:hAnsi="Helvetica Neue"/>
                <w:color w:val="1a1a1a"/>
                <w:sz w:val="22"/>
                <w:szCs w:val="22"/>
              </w:rPr>
            </w:pPr>
            <w:r w:rsidDel="00000000" w:rsidR="00000000" w:rsidRPr="00000000">
              <w:rPr>
                <w:rtl w:val="0"/>
              </w:rPr>
            </w:r>
          </w:p>
        </w:tc>
        <w:tc>
          <w:tcPr/>
          <w:p w:rsidR="00000000" w:rsidDel="00000000" w:rsidP="00000000" w:rsidRDefault="00000000" w:rsidRPr="00000000" w14:paraId="00000066">
            <w:pPr>
              <w:spacing w:before="240" w:lineRule="auto"/>
              <w:rPr>
                <w:rFonts w:ascii="Helvetica Neue" w:cs="Helvetica Neue" w:eastAsia="Helvetica Neue" w:hAnsi="Helvetica Neue"/>
                <w:color w:val="1a1a1a"/>
                <w:sz w:val="22"/>
                <w:szCs w:val="22"/>
              </w:rPr>
            </w:pPr>
            <w:r w:rsidDel="00000000" w:rsidR="00000000" w:rsidRPr="00000000">
              <w:rPr>
                <w:rtl w:val="0"/>
              </w:rPr>
              <w:t xml:space="preserve">Nessuna</w:t>
            </w:r>
            <w:r w:rsidDel="00000000" w:rsidR="00000000" w:rsidRPr="00000000">
              <w:rPr>
                <w:rtl w:val="0"/>
              </w:rPr>
            </w:r>
          </w:p>
        </w:tc>
        <w:tc>
          <w:tcPr/>
          <w:p w:rsidR="00000000" w:rsidDel="00000000" w:rsidP="00000000" w:rsidRDefault="00000000" w:rsidRPr="00000000" w14:paraId="00000067">
            <w:pPr>
              <w:spacing w:before="240" w:lineRule="auto"/>
              <w:rPr>
                <w:rFonts w:ascii="Helvetica Neue" w:cs="Helvetica Neue" w:eastAsia="Helvetica Neue" w:hAnsi="Helvetica Neue"/>
                <w:color w:val="1a1a1a"/>
                <w:sz w:val="22"/>
                <w:szCs w:val="22"/>
              </w:rPr>
            </w:pPr>
            <w:r w:rsidDel="00000000" w:rsidR="00000000" w:rsidRPr="00000000">
              <w:rPr>
                <w:rtl w:val="0"/>
              </w:rPr>
              <w:t xml:space="preserve">Nessuna</w:t>
            </w:r>
            <w:r w:rsidDel="00000000" w:rsidR="00000000" w:rsidRPr="00000000">
              <w:rPr>
                <w:rtl w:val="0"/>
              </w:rPr>
            </w:r>
          </w:p>
        </w:tc>
      </w:tr>
      <w:tr>
        <w:trPr>
          <w:cantSplit w:val="0"/>
          <w:trHeight w:val="904" w:hRule="atLeast"/>
          <w:tblHeader w:val="0"/>
        </w:trPr>
        <w:tc>
          <w:tcPr/>
          <w:p w:rsidR="00000000" w:rsidDel="00000000" w:rsidP="00000000" w:rsidRDefault="00000000" w:rsidRPr="00000000" w14:paraId="00000068">
            <w:pPr>
              <w:spacing w:before="240" w:lineRule="auto"/>
              <w:rPr>
                <w:rFonts w:ascii="Arial" w:cs="Arial" w:eastAsia="Arial" w:hAnsi="Arial"/>
                <w:b w:val="1"/>
                <w:bCs w:val="1"/>
                <w:color w:val="374151"/>
                <w:sz w:val="21"/>
                <w:szCs w:val="21"/>
              </w:rPr>
            </w:pPr>
            <w:r w:rsidDel="00000000" w:rsidR="00000000" w:rsidRPr="00000000">
              <w:rPr>
                <w:rFonts w:ascii="Arial" w:cs="Arial" w:eastAsia="Arial" w:hAnsi="Arial"/>
                <w:b w:val="1"/>
                <w:bCs w:val="1"/>
                <w:color w:val="374151"/>
                <w:sz w:val="21"/>
                <w:szCs w:val="21"/>
                <w:rtl w:val="0"/>
              </w:rPr>
              <w:t xml:space="preserve">2024</w:t>
            </w:r>
          </w:p>
        </w:tc>
        <w:tc>
          <w:tcPr/>
          <w:p w:rsidR="00000000" w:rsidDel="00000000" w:rsidP="00000000" w:rsidRDefault="00000000" w:rsidRPr="00000000" w14:paraId="00000069">
            <w:pPr>
              <w:spacing w:before="240" w:lineRule="auto"/>
              <w:rPr>
                <w:color w:val="0000ff"/>
                <w:u w:val="single"/>
              </w:rPr>
            </w:pPr>
            <w:hyperlink r:id="rId16">
              <w:r w:rsidDel="00000000" w:rsidR="00000000" w:rsidRPr="00000000">
                <w:rPr>
                  <w:color w:val="0000ff"/>
                  <w:u w:val="single"/>
                  <w:rtl w:val="0"/>
                </w:rPr>
                <w:t xml:space="preserve">28 marzo 2024, n.</w:t>
              </w:r>
            </w:hyperlink>
            <w:r w:rsidDel="00000000" w:rsidR="00000000" w:rsidRPr="00000000">
              <w:rPr>
                <w:color w:val="0000ff"/>
                <w:u w:val="single"/>
                <w:rtl w:val="0"/>
              </w:rPr>
              <w:t xml:space="preserve"> 13</w:t>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260" w:before="0" w:line="264" w:lineRule="auto"/>
              <w:rPr>
                <w:rFonts w:ascii="Arial" w:cs="Arial" w:eastAsia="Arial" w:hAnsi="Arial"/>
                <w:color w:val="374151"/>
                <w:sz w:val="21"/>
                <w:szCs w:val="21"/>
              </w:rPr>
            </w:pPr>
            <w:bookmarkStart w:colFirst="0" w:colLast="0" w:name="_b9hpbu4mbo35" w:id="6"/>
            <w:bookmarkEnd w:id="6"/>
            <w:r w:rsidDel="00000000" w:rsidR="00000000" w:rsidRPr="00000000">
              <w:rPr>
                <w:rFonts w:ascii="Arial" w:cs="Arial" w:eastAsia="Arial" w:hAnsi="Arial"/>
                <w:color w:val="374151"/>
                <w:sz w:val="21"/>
                <w:szCs w:val="21"/>
                <w:rtl w:val="0"/>
              </w:rPr>
              <w:t xml:space="preserve">Integrazione delle Linee Guida per lo svolgimento delle attività di controllo e rendicontazione delle Misure PNRR di competenza delle Amministrazioni centrali e dei Soggetti Attuatori. Adozione delle Appendici tematiche: La prevenzione e il controllo del conflitto di interessi ex art. 22 Reg. (UE) 2021/241; La duplicazione dei finanziamenti ex art. 22 par. 2 lett. c) Reg. (UE) 2021/241.</w:t>
            </w:r>
          </w:p>
        </w:tc>
        <w:tc>
          <w:tcPr/>
          <w:p w:rsidR="00000000" w:rsidDel="00000000" w:rsidP="00000000" w:rsidRDefault="00000000" w:rsidRPr="00000000" w14:paraId="0000006B">
            <w:pPr>
              <w:spacing w:before="240" w:lineRule="auto"/>
              <w:rPr>
                <w:rFonts w:ascii="Helvetica Neue" w:cs="Helvetica Neue" w:eastAsia="Helvetica Neue" w:hAnsi="Helvetica Neue"/>
                <w:color w:val="1a1a1a"/>
                <w:sz w:val="22"/>
                <w:szCs w:val="22"/>
              </w:rPr>
            </w:pPr>
            <w:r w:rsidDel="00000000" w:rsidR="00000000" w:rsidRPr="00000000">
              <w:rPr>
                <w:rFonts w:ascii="Helvetica Neue" w:cs="Helvetica Neue" w:eastAsia="Helvetica Neue" w:hAnsi="Helvetica Neue"/>
                <w:color w:val="1a1a1a"/>
                <w:sz w:val="22"/>
                <w:szCs w:val="22"/>
                <w:rtl w:val="0"/>
              </w:rPr>
              <w:t xml:space="preserve">Con la presente Circolare vengono adottate le Appendici tematiche aventi ad oggetto “La prevenzione e il controllo del conflitto di interessi ex art. 22 Reg. (UE) 2021/241”e “La duplicazione dei finanziamenti ex art. 22 par. 2 lett. c) Reg. (UE) 2021/241”, che compendiano, ed ulteriormente definiscono, gli step procedurali che i Soggetti Attuatori e le Amministrazioni titolari di Misure PNRR (o gli Enti attuatori “esterni” da queste delegati) devono porre in essere anche attraverso le previste funzionalità del Sistema Informativo ReGiS.</w:t>
            </w:r>
          </w:p>
        </w:tc>
        <w:tc>
          <w:tcPr/>
          <w:p w:rsidR="00000000" w:rsidDel="00000000" w:rsidP="00000000" w:rsidRDefault="00000000" w:rsidRPr="00000000" w14:paraId="0000006C">
            <w:pPr>
              <w:spacing w:before="240" w:lineRule="auto"/>
              <w:rPr>
                <w:rFonts w:ascii="Helvetica Neue" w:cs="Helvetica Neue" w:eastAsia="Helvetica Neue" w:hAnsi="Helvetica Neue"/>
                <w:color w:val="1a1a1a"/>
                <w:sz w:val="22"/>
                <w:szCs w:val="22"/>
              </w:rPr>
            </w:pPr>
            <w:r w:rsidDel="00000000" w:rsidR="00000000" w:rsidRPr="00000000">
              <w:rPr>
                <w:rtl w:val="0"/>
              </w:rPr>
              <w:t xml:space="preserve">Circolare n.21 del 14 ottobre 2021 e n.30 del 11 agosto 2022</w:t>
            </w:r>
            <w:r w:rsidDel="00000000" w:rsidR="00000000" w:rsidRPr="00000000">
              <w:rPr>
                <w:rtl w:val="0"/>
              </w:rPr>
            </w:r>
          </w:p>
        </w:tc>
        <w:tc>
          <w:tcPr/>
          <w:p w:rsidR="00000000" w:rsidDel="00000000" w:rsidP="00000000" w:rsidRDefault="00000000" w:rsidRPr="00000000" w14:paraId="0000006D">
            <w:pPr>
              <w:spacing w:before="240" w:lineRule="auto"/>
              <w:rPr>
                <w:rFonts w:ascii="Helvetica Neue" w:cs="Helvetica Neue" w:eastAsia="Helvetica Neue" w:hAnsi="Helvetica Neue"/>
                <w:color w:val="1a1a1a"/>
                <w:sz w:val="22"/>
                <w:szCs w:val="22"/>
              </w:rPr>
            </w:pPr>
            <w:r w:rsidDel="00000000" w:rsidR="00000000" w:rsidRPr="00000000">
              <w:rPr>
                <w:rtl w:val="0"/>
              </w:rPr>
              <w:t xml:space="preserve">Nessuna</w:t>
            </w:r>
            <w:r w:rsidDel="00000000" w:rsidR="00000000" w:rsidRPr="00000000">
              <w:rPr>
                <w:rtl w:val="0"/>
              </w:rPr>
            </w:r>
          </w:p>
        </w:tc>
      </w:tr>
      <w:tr>
        <w:trPr>
          <w:cantSplit w:val="0"/>
          <w:trHeight w:val="904" w:hRule="atLeast"/>
          <w:tblHeader w:val="0"/>
        </w:trPr>
        <w:tc>
          <w:tcPr/>
          <w:p w:rsidR="00000000" w:rsidDel="00000000" w:rsidP="00000000" w:rsidRDefault="00000000" w:rsidRPr="00000000" w14:paraId="0000006E">
            <w:pPr>
              <w:spacing w:before="240" w:lineRule="auto"/>
              <w:rPr>
                <w:rFonts w:ascii="Arial" w:cs="Arial" w:eastAsia="Arial" w:hAnsi="Arial"/>
                <w:b w:val="1"/>
                <w:bCs w:val="1"/>
                <w:color w:val="374151"/>
                <w:sz w:val="21"/>
                <w:szCs w:val="21"/>
              </w:rPr>
            </w:pPr>
            <w:r w:rsidDel="00000000" w:rsidR="00000000" w:rsidRPr="00000000">
              <w:rPr>
                <w:rFonts w:ascii="Arial" w:cs="Arial" w:eastAsia="Arial" w:hAnsi="Arial"/>
                <w:b w:val="1"/>
                <w:bCs w:val="1"/>
                <w:color w:val="374151"/>
                <w:sz w:val="21"/>
                <w:szCs w:val="21"/>
                <w:rtl w:val="0"/>
              </w:rPr>
              <w:t xml:space="preserve">2024</w:t>
            </w:r>
          </w:p>
        </w:tc>
        <w:tc>
          <w:tcPr/>
          <w:p w:rsidR="00000000" w:rsidDel="00000000" w:rsidP="00000000" w:rsidRDefault="00000000" w:rsidRPr="00000000" w14:paraId="0000006F">
            <w:pPr>
              <w:spacing w:before="240" w:lineRule="auto"/>
              <w:rPr>
                <w:color w:val="0000ff"/>
                <w:u w:val="single"/>
              </w:rPr>
            </w:pPr>
            <w:hyperlink r:id="rId17">
              <w:r w:rsidDel="00000000" w:rsidR="00000000" w:rsidRPr="00000000">
                <w:rPr>
                  <w:color w:val="0000ff"/>
                  <w:u w:val="single"/>
                  <w:rtl w:val="0"/>
                </w:rPr>
                <w:t xml:space="preserve">12 marzo 2024, n. 10</w:t>
              </w:r>
            </w:hyperlink>
            <w:r w:rsidDel="00000000" w:rsidR="00000000" w:rsidRPr="00000000">
              <w:rPr>
                <w:rtl w:val="0"/>
              </w:rPr>
            </w:r>
          </w:p>
        </w:tc>
        <w:tc>
          <w:tcPr/>
          <w:p w:rsidR="00000000" w:rsidDel="00000000" w:rsidP="00000000" w:rsidRDefault="00000000" w:rsidRPr="00000000" w14:paraId="00000070">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Procedure di gara svolte dalle Centrali di Committenza e correlate agli interventi del Piano Nazionale di Ripresa e Resilienza (PNRR)</w:t>
            </w:r>
          </w:p>
        </w:tc>
        <w:tc>
          <w:tcPr/>
          <w:p w:rsidR="00000000" w:rsidDel="00000000" w:rsidP="00000000" w:rsidRDefault="00000000" w:rsidRPr="00000000" w14:paraId="00000071">
            <w:pPr>
              <w:spacing w:before="240" w:lineRule="auto"/>
              <w:rPr>
                <w:rFonts w:ascii="Helvetica Neue" w:cs="Helvetica Neue" w:eastAsia="Helvetica Neue" w:hAnsi="Helvetica Neue"/>
                <w:color w:val="1a1a1a"/>
                <w:sz w:val="22"/>
                <w:szCs w:val="22"/>
              </w:rPr>
            </w:pPr>
            <w:r w:rsidDel="00000000" w:rsidR="00000000" w:rsidRPr="00000000">
              <w:rPr>
                <w:rFonts w:ascii="Helvetica Neue" w:cs="Helvetica Neue" w:eastAsia="Helvetica Neue" w:hAnsi="Helvetica Neue"/>
                <w:color w:val="1a1a1a"/>
                <w:sz w:val="22"/>
                <w:szCs w:val="22"/>
                <w:rtl w:val="0"/>
              </w:rPr>
              <w:t xml:space="preserve">Nell’ambito degli incontri del “Tavolo di coordinamento per la rendicontazione e il controllo del PNRR” è stata richiesta la possibilità che le Centrali di Committenza, per le procedure di gara da esse esperite, svolgano una istruttoria circa la correttezza e completezza delle procedure e degli atti di competenza, nonché sulla presenza, in fase di procedura d’appalto, della documentazione comprovante il rispetto delle condizionalità specifiche/trasversali del PNRR. A tal fine è stato concordato con Consip ed Invitalia, per gli aspetti di competenza riferiti alle predette procedure di gara esperite quali Centrali di Committenza e correlate agli interventi PNRR, l’avvio di un’azione di supporto dettagliata nella circolare.</w:t>
            </w:r>
          </w:p>
        </w:tc>
        <w:tc>
          <w:tcPr/>
          <w:p w:rsidR="00000000" w:rsidDel="00000000" w:rsidP="00000000" w:rsidRDefault="00000000" w:rsidRPr="00000000" w14:paraId="00000072">
            <w:pPr>
              <w:spacing w:before="240" w:lineRule="auto"/>
              <w:rPr>
                <w:rFonts w:ascii="Helvetica Neue" w:cs="Helvetica Neue" w:eastAsia="Helvetica Neue" w:hAnsi="Helvetica Neue"/>
                <w:color w:val="1a1a1a"/>
                <w:sz w:val="22"/>
                <w:szCs w:val="22"/>
              </w:rPr>
            </w:pPr>
            <w:r w:rsidDel="00000000" w:rsidR="00000000" w:rsidRPr="00000000">
              <w:rPr>
                <w:rtl w:val="0"/>
              </w:rPr>
              <w:t xml:space="preserve">Nessuna</w:t>
            </w:r>
            <w:r w:rsidDel="00000000" w:rsidR="00000000" w:rsidRPr="00000000">
              <w:rPr>
                <w:rtl w:val="0"/>
              </w:rPr>
            </w:r>
          </w:p>
        </w:tc>
        <w:tc>
          <w:tcPr/>
          <w:p w:rsidR="00000000" w:rsidDel="00000000" w:rsidP="00000000" w:rsidRDefault="00000000" w:rsidRPr="00000000" w14:paraId="00000073">
            <w:pPr>
              <w:spacing w:before="240" w:lineRule="auto"/>
              <w:rPr>
                <w:rFonts w:ascii="Helvetica Neue" w:cs="Helvetica Neue" w:eastAsia="Helvetica Neue" w:hAnsi="Helvetica Neue"/>
                <w:color w:val="1a1a1a"/>
                <w:sz w:val="22"/>
                <w:szCs w:val="22"/>
              </w:rPr>
            </w:pPr>
            <w:r w:rsidDel="00000000" w:rsidR="00000000" w:rsidRPr="00000000">
              <w:rPr>
                <w:rtl w:val="0"/>
              </w:rPr>
              <w:t xml:space="preserve">Nessuna</w:t>
            </w:r>
            <w:r w:rsidDel="00000000" w:rsidR="00000000" w:rsidRPr="00000000">
              <w:rPr>
                <w:rtl w:val="0"/>
              </w:rPr>
            </w:r>
          </w:p>
        </w:tc>
      </w:tr>
      <w:tr>
        <w:trPr>
          <w:cantSplit w:val="0"/>
          <w:trHeight w:val="904" w:hRule="atLeast"/>
          <w:tblHeader w:val="0"/>
        </w:trPr>
        <w:tc>
          <w:tcPr/>
          <w:p w:rsidR="00000000" w:rsidDel="00000000" w:rsidP="00000000" w:rsidRDefault="00000000" w:rsidRPr="00000000" w14:paraId="00000074">
            <w:pPr>
              <w:spacing w:before="240" w:lineRule="auto"/>
              <w:rPr>
                <w:rFonts w:ascii="Arial" w:cs="Arial" w:eastAsia="Arial" w:hAnsi="Arial"/>
                <w:b w:val="1"/>
                <w:bCs w:val="1"/>
                <w:color w:val="374151"/>
                <w:sz w:val="21"/>
                <w:szCs w:val="21"/>
              </w:rPr>
            </w:pPr>
            <w:r w:rsidDel="00000000" w:rsidR="00000000" w:rsidRPr="00000000">
              <w:rPr>
                <w:rFonts w:ascii="Arial" w:cs="Arial" w:eastAsia="Arial" w:hAnsi="Arial"/>
                <w:b w:val="1"/>
                <w:bCs w:val="1"/>
                <w:color w:val="374151"/>
                <w:sz w:val="21"/>
                <w:szCs w:val="21"/>
                <w:rtl w:val="0"/>
              </w:rPr>
              <w:t xml:space="preserve">2024</w:t>
            </w:r>
          </w:p>
        </w:tc>
        <w:tc>
          <w:tcPr/>
          <w:p w:rsidR="00000000" w:rsidDel="00000000" w:rsidP="00000000" w:rsidRDefault="00000000" w:rsidRPr="00000000" w14:paraId="00000075">
            <w:pPr>
              <w:spacing w:before="240" w:lineRule="auto"/>
              <w:rPr/>
            </w:pPr>
            <w:hyperlink r:id="rId18">
              <w:r w:rsidDel="00000000" w:rsidR="00000000" w:rsidRPr="00000000">
                <w:rPr>
                  <w:color w:val="0000ff"/>
                  <w:rtl w:val="0"/>
                </w:rPr>
                <w:t xml:space="preserve">29 febbraio 2024, n. 8</w:t>
              </w:r>
            </w:hyperlink>
            <w:r w:rsidDel="00000000" w:rsidR="00000000" w:rsidRPr="00000000">
              <w:rPr>
                <w:rtl w:val="0"/>
              </w:rPr>
            </w:r>
          </w:p>
        </w:tc>
        <w:tc>
          <w:tcPr/>
          <w:p w:rsidR="00000000" w:rsidDel="00000000" w:rsidP="00000000" w:rsidRDefault="00000000" w:rsidRPr="00000000" w14:paraId="00000076">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Trasformazione digitale dei servizi della pubblica amministrazione</w:t>
            </w:r>
          </w:p>
        </w:tc>
        <w:tc>
          <w:tcPr/>
          <w:p w:rsidR="00000000" w:rsidDel="00000000" w:rsidP="00000000" w:rsidRDefault="00000000" w:rsidRPr="00000000" w14:paraId="00000077">
            <w:pPr>
              <w:spacing w:before="240"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La presente Circolare tratta il tema della “Trasformazione digitale dei servizi della pubblica amministrazione” ai sensi articolo 27, comma 2-quinquies, del decreto-legge 6 novembre 2021, n. 152, convertito, con modificazioni, dalla legge 29 dicembre 2021, n. 233. In particolare vengono trattati i Criteri per l’adozione delle variazioni contabili necessarie per il passaggio al cloud.</w:t>
            </w:r>
          </w:p>
          <w:p w:rsidR="00000000" w:rsidDel="00000000" w:rsidP="00000000" w:rsidRDefault="00000000" w:rsidRPr="00000000" w14:paraId="00000078">
            <w:pPr>
              <w:spacing w:before="240" w:lineRule="auto"/>
              <w:rPr>
                <w:rFonts w:ascii="Helvetica Neue" w:cs="Helvetica Neue" w:eastAsia="Helvetica Neue" w:hAnsi="Helvetica Neue"/>
                <w:color w:val="1a1a1a"/>
                <w:sz w:val="22"/>
                <w:szCs w:val="22"/>
              </w:rPr>
            </w:pPr>
            <w:r w:rsidDel="00000000" w:rsidR="00000000" w:rsidRPr="00000000">
              <w:rPr>
                <w:rtl w:val="0"/>
              </w:rPr>
            </w:r>
          </w:p>
        </w:tc>
        <w:tc>
          <w:tcPr/>
          <w:p w:rsidR="00000000" w:rsidDel="00000000" w:rsidP="00000000" w:rsidRDefault="00000000" w:rsidRPr="00000000" w14:paraId="00000079">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c>
          <w:tcPr/>
          <w:p w:rsidR="00000000" w:rsidDel="00000000" w:rsidP="00000000" w:rsidRDefault="00000000" w:rsidRPr="00000000" w14:paraId="0000007A">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r>
      <w:tr>
        <w:trPr>
          <w:cantSplit w:val="0"/>
          <w:trHeight w:val="904" w:hRule="atLeast"/>
          <w:tblHeader w:val="0"/>
        </w:trPr>
        <w:tc>
          <w:tcPr/>
          <w:p w:rsidR="00000000" w:rsidDel="00000000" w:rsidP="00000000" w:rsidRDefault="00000000" w:rsidRPr="00000000" w14:paraId="0000007B">
            <w:pPr>
              <w:spacing w:before="240" w:lineRule="auto"/>
              <w:rPr>
                <w:rFonts w:ascii="Arial" w:cs="Arial" w:eastAsia="Arial" w:hAnsi="Arial"/>
                <w:b w:val="1"/>
                <w:bCs w:val="1"/>
                <w:color w:val="374151"/>
                <w:sz w:val="21"/>
                <w:szCs w:val="21"/>
              </w:rPr>
            </w:pPr>
            <w:r w:rsidDel="00000000" w:rsidR="00000000" w:rsidRPr="00000000">
              <w:rPr>
                <w:rFonts w:ascii="Arial" w:cs="Arial" w:eastAsia="Arial" w:hAnsi="Arial"/>
                <w:b w:val="1"/>
                <w:bCs w:val="1"/>
                <w:color w:val="374151"/>
                <w:sz w:val="21"/>
                <w:szCs w:val="21"/>
                <w:rtl w:val="0"/>
              </w:rPr>
              <w:t xml:space="preserve">2024</w:t>
            </w:r>
          </w:p>
        </w:tc>
        <w:tc>
          <w:tcPr/>
          <w:p w:rsidR="00000000" w:rsidDel="00000000" w:rsidP="00000000" w:rsidRDefault="00000000" w:rsidRPr="00000000" w14:paraId="0000007C">
            <w:pPr>
              <w:spacing w:before="240" w:lineRule="auto"/>
              <w:rPr/>
            </w:pPr>
            <w:hyperlink r:id="rId19">
              <w:r w:rsidDel="00000000" w:rsidR="00000000" w:rsidRPr="00000000">
                <w:rPr>
                  <w:color w:val="0000ff"/>
                  <w:u w:val="single"/>
                  <w:rtl w:val="0"/>
                </w:rPr>
                <w:t xml:space="preserve">18 gennaio 2024, n.2</w:t>
              </w:r>
            </w:hyperlink>
            <w:r w:rsidDel="00000000" w:rsidR="00000000" w:rsidRPr="00000000">
              <w:rPr>
                <w:rtl w:val="0"/>
              </w:rPr>
            </w:r>
          </w:p>
        </w:tc>
        <w:tc>
          <w:tcPr/>
          <w:p w:rsidR="00000000" w:rsidDel="00000000" w:rsidP="00000000" w:rsidRDefault="00000000" w:rsidRPr="00000000" w14:paraId="0000007D">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Monitoraggio delle misure del Piano Nazionale di Ripresa e Resilienza (PNRR) e della Politica di coesione per il periodo di programmazione 2021-2027. Protocollo Unico di Colloquio, versione 2.0</w:t>
            </w:r>
          </w:p>
        </w:tc>
        <w:tc>
          <w:tcPr/>
          <w:p w:rsidR="00000000" w:rsidDel="00000000" w:rsidP="00000000" w:rsidRDefault="00000000" w:rsidRPr="00000000" w14:paraId="0000007E">
            <w:pPr>
              <w:spacing w:before="240" w:lineRule="auto"/>
              <w:rPr>
                <w:rFonts w:ascii="Helvetica Neue" w:cs="Helvetica Neue" w:eastAsia="Helvetica Neue" w:hAnsi="Helvetica Neue"/>
                <w:color w:val="1a1a1a"/>
                <w:sz w:val="22"/>
                <w:szCs w:val="22"/>
              </w:rPr>
            </w:pPr>
            <w:r w:rsidDel="00000000" w:rsidR="00000000" w:rsidRPr="00000000">
              <w:rPr>
                <w:rFonts w:ascii="Helvetica Neue" w:cs="Helvetica Neue" w:eastAsia="Helvetica Neue" w:hAnsi="Helvetica Neue"/>
                <w:color w:val="1a1a1a"/>
                <w:sz w:val="22"/>
                <w:szCs w:val="22"/>
                <w:rtl w:val="0"/>
              </w:rPr>
              <w:t xml:space="preserve">Il “Protocollo Unico di Colloquio RGS" reca il tracciato unico per il monitoraggio delle misure PNRR e degli interventi relativi ai progetti di investimento pubblico finanziati dai Fondi europei, dal Fondo di Sviluppo e Coesione (FSC) e da altre fonti nazionali della politica di coesione per il periodo 2021-2027. Tale documento definisce le informazioni per le quali le Amministrazioni devono assicurare, per gli interventi di rispettiva competenza, la rilevazione dei dati di attuazione finanziaria, fisica e procedurale a livello di singolo progetto e delle procedure di attivazione degli interventi.</w:t>
            </w:r>
          </w:p>
        </w:tc>
        <w:tc>
          <w:tcPr/>
          <w:p w:rsidR="00000000" w:rsidDel="00000000" w:rsidP="00000000" w:rsidRDefault="00000000" w:rsidRPr="00000000" w14:paraId="0000007F">
            <w:pPr>
              <w:spacing w:before="240" w:lineRule="auto"/>
              <w:rPr>
                <w:rFonts w:ascii="Helvetica Neue" w:cs="Helvetica Neue" w:eastAsia="Helvetica Neue" w:hAnsi="Helvetica Neue"/>
                <w:color w:val="1a1a1a"/>
                <w:sz w:val="22"/>
                <w:szCs w:val="22"/>
              </w:rPr>
            </w:pPr>
            <w:r w:rsidDel="00000000" w:rsidR="00000000" w:rsidRPr="00000000">
              <w:rPr>
                <w:rtl w:val="0"/>
              </w:rPr>
              <w:t xml:space="preserve">Circolare n. 27 del 21 giugno 2022</w:t>
            </w:r>
            <w:r w:rsidDel="00000000" w:rsidR="00000000" w:rsidRPr="00000000">
              <w:rPr>
                <w:rtl w:val="0"/>
              </w:rPr>
            </w:r>
          </w:p>
        </w:tc>
        <w:tc>
          <w:tcPr/>
          <w:p w:rsidR="00000000" w:rsidDel="00000000" w:rsidP="00000000" w:rsidRDefault="00000000" w:rsidRPr="00000000" w14:paraId="00000080">
            <w:pPr>
              <w:spacing w:before="240" w:lineRule="auto"/>
              <w:rPr>
                <w:rFonts w:ascii="Helvetica Neue" w:cs="Helvetica Neue" w:eastAsia="Helvetica Neue" w:hAnsi="Helvetica Neue"/>
                <w:color w:val="1a1a1a"/>
                <w:sz w:val="22"/>
                <w:szCs w:val="22"/>
              </w:rPr>
            </w:pPr>
            <w:r w:rsidDel="00000000" w:rsidR="00000000" w:rsidRPr="00000000">
              <w:rPr>
                <w:rtl w:val="0"/>
              </w:rPr>
              <w:t xml:space="preserve">Circolare n. 24 del 17 maggio 2024</w:t>
            </w:r>
            <w:r w:rsidDel="00000000" w:rsidR="00000000" w:rsidRPr="00000000">
              <w:rPr>
                <w:rFonts w:ascii="Helvetica Neue" w:cs="Helvetica Neue" w:eastAsia="Helvetica Neue" w:hAnsi="Helvetica Neue"/>
                <w:color w:val="1a1a1a"/>
                <w:sz w:val="22"/>
                <w:szCs w:val="22"/>
                <w:rtl w:val="0"/>
              </w:rPr>
              <w:t xml:space="preserve"> </w:t>
            </w:r>
          </w:p>
        </w:tc>
      </w:tr>
      <w:tr>
        <w:trPr>
          <w:cantSplit w:val="0"/>
          <w:trHeight w:val="904" w:hRule="atLeast"/>
          <w:tblHeader w:val="0"/>
        </w:trPr>
        <w:tc>
          <w:tcPr/>
          <w:p w:rsidR="00000000" w:rsidDel="00000000" w:rsidP="00000000" w:rsidRDefault="00000000" w:rsidRPr="00000000" w14:paraId="00000081">
            <w:pPr>
              <w:spacing w:before="240" w:lineRule="auto"/>
              <w:rPr>
                <w:rFonts w:ascii="Arial" w:cs="Arial" w:eastAsia="Arial" w:hAnsi="Arial"/>
                <w:b w:val="1"/>
                <w:bCs w:val="1"/>
                <w:color w:val="374151"/>
                <w:sz w:val="21"/>
                <w:szCs w:val="21"/>
              </w:rPr>
            </w:pPr>
            <w:r w:rsidDel="00000000" w:rsidR="00000000" w:rsidRPr="00000000">
              <w:rPr>
                <w:rFonts w:ascii="Arial" w:cs="Arial" w:eastAsia="Arial" w:hAnsi="Arial"/>
                <w:b w:val="1"/>
                <w:bCs w:val="1"/>
                <w:color w:val="374151"/>
                <w:sz w:val="21"/>
                <w:szCs w:val="21"/>
                <w:rtl w:val="0"/>
              </w:rPr>
              <w:t xml:space="preserve">2023</w:t>
            </w:r>
          </w:p>
        </w:tc>
        <w:tc>
          <w:tcPr/>
          <w:p w:rsidR="00000000" w:rsidDel="00000000" w:rsidP="00000000" w:rsidRDefault="00000000" w:rsidRPr="00000000" w14:paraId="00000082">
            <w:pPr>
              <w:spacing w:before="240" w:lineRule="auto"/>
              <w:rPr/>
            </w:pPr>
            <w:hyperlink r:id="rId20">
              <w:r w:rsidDel="00000000" w:rsidR="00000000" w:rsidRPr="00000000">
                <w:rPr>
                  <w:color w:val="0000ff"/>
                  <w:u w:val="single"/>
                  <w:rtl w:val="0"/>
                </w:rPr>
                <w:t xml:space="preserve">22 dicembre 2023, n.35</w:t>
              </w:r>
            </w:hyperlink>
            <w:r w:rsidDel="00000000" w:rsidR="00000000" w:rsidRPr="00000000">
              <w:rPr>
                <w:rtl w:val="0"/>
              </w:rPr>
            </w:r>
          </w:p>
        </w:tc>
        <w:tc>
          <w:tcPr/>
          <w:p w:rsidR="00000000" w:rsidDel="00000000" w:rsidP="00000000" w:rsidRDefault="00000000" w:rsidRPr="00000000" w14:paraId="00000083">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Strategia generale antifrode per l’attuazione del Piano Nazionale di Ripresa e Resilienza - versione 2.0</w:t>
            </w:r>
          </w:p>
        </w:tc>
        <w:tc>
          <w:tcPr/>
          <w:p w:rsidR="00000000" w:rsidDel="00000000" w:rsidP="00000000" w:rsidRDefault="00000000" w:rsidRPr="00000000" w14:paraId="00000084">
            <w:pPr>
              <w:spacing w:before="240" w:lineRule="auto"/>
              <w:rPr>
                <w:rFonts w:ascii="Helvetica Neue" w:cs="Helvetica Neue" w:eastAsia="Helvetica Neue" w:hAnsi="Helvetica Neue"/>
                <w:color w:val="1a1a1a"/>
                <w:sz w:val="22"/>
                <w:szCs w:val="22"/>
              </w:rPr>
            </w:pPr>
            <w:r w:rsidDel="00000000" w:rsidR="00000000" w:rsidRPr="00000000">
              <w:rPr>
                <w:rFonts w:ascii="Helvetica Neue" w:cs="Helvetica Neue" w:eastAsia="Helvetica Neue" w:hAnsi="Helvetica Neue"/>
                <w:color w:val="1a1a1a"/>
                <w:sz w:val="22"/>
                <w:szCs w:val="22"/>
                <w:rtl w:val="0"/>
              </w:rPr>
              <w:t xml:space="preserve">La presente Circolare adotta la versione 2.0 della Strategia generale antifrode per l'attuazione del Piano Nazionale di Ripresa e Resilienza recante l'aggiornamento della precedente edizione (1.0) diramata con nota RGS 288431 in data 11 ottobre 2022</w:t>
            </w:r>
          </w:p>
        </w:tc>
        <w:tc>
          <w:tcPr/>
          <w:p w:rsidR="00000000" w:rsidDel="00000000" w:rsidP="00000000" w:rsidRDefault="00000000" w:rsidRPr="00000000" w14:paraId="00000085">
            <w:pPr>
              <w:spacing w:before="240" w:lineRule="auto"/>
              <w:rPr>
                <w:rFonts w:ascii="Helvetica Neue" w:cs="Helvetica Neue" w:eastAsia="Helvetica Neue" w:hAnsi="Helvetica Neue"/>
                <w:color w:val="1a1a1a"/>
                <w:sz w:val="22"/>
                <w:szCs w:val="22"/>
              </w:rPr>
            </w:pPr>
            <w:r w:rsidDel="00000000" w:rsidR="00000000" w:rsidRPr="00000000">
              <w:rPr>
                <w:rtl w:val="0"/>
              </w:rPr>
              <w:t xml:space="preserve">Nota RGS 288431 dell'11 ottobre 2022</w:t>
            </w:r>
            <w:r w:rsidDel="00000000" w:rsidR="00000000" w:rsidRPr="00000000">
              <w:rPr>
                <w:rtl w:val="0"/>
              </w:rPr>
            </w:r>
          </w:p>
        </w:tc>
        <w:tc>
          <w:tcPr/>
          <w:p w:rsidR="00000000" w:rsidDel="00000000" w:rsidP="00000000" w:rsidRDefault="00000000" w:rsidRPr="00000000" w14:paraId="00000086">
            <w:pPr>
              <w:spacing w:before="240" w:lineRule="auto"/>
              <w:rPr>
                <w:rFonts w:ascii="Helvetica Neue" w:cs="Helvetica Neue" w:eastAsia="Helvetica Neue" w:hAnsi="Helvetica Neue"/>
                <w:color w:val="1a1a1a"/>
                <w:sz w:val="22"/>
                <w:szCs w:val="22"/>
              </w:rPr>
            </w:pPr>
            <w:r w:rsidDel="00000000" w:rsidR="00000000" w:rsidRPr="00000000">
              <w:rPr>
                <w:rtl w:val="0"/>
              </w:rPr>
              <w:t xml:space="preserve">Nessuna</w:t>
            </w:r>
            <w:r w:rsidDel="00000000" w:rsidR="00000000" w:rsidRPr="00000000">
              <w:rPr>
                <w:rtl w:val="0"/>
              </w:rPr>
            </w:r>
          </w:p>
        </w:tc>
      </w:tr>
      <w:tr>
        <w:trPr>
          <w:cantSplit w:val="0"/>
          <w:trHeight w:val="904" w:hRule="atLeast"/>
          <w:tblHeader w:val="0"/>
        </w:trPr>
        <w:tc>
          <w:tcPr/>
          <w:p w:rsidR="00000000" w:rsidDel="00000000" w:rsidP="00000000" w:rsidRDefault="00000000" w:rsidRPr="00000000" w14:paraId="00000087">
            <w:pPr>
              <w:spacing w:before="240" w:lineRule="auto"/>
              <w:rPr>
                <w:rFonts w:ascii="Arial" w:cs="Arial" w:eastAsia="Arial" w:hAnsi="Arial"/>
                <w:b w:val="1"/>
                <w:bCs w:val="1"/>
                <w:color w:val="374151"/>
                <w:sz w:val="21"/>
                <w:szCs w:val="21"/>
              </w:rPr>
            </w:pPr>
            <w:r w:rsidDel="00000000" w:rsidR="00000000" w:rsidRPr="00000000">
              <w:rPr>
                <w:rFonts w:ascii="Arial" w:cs="Arial" w:eastAsia="Arial" w:hAnsi="Arial"/>
                <w:b w:val="1"/>
                <w:bCs w:val="1"/>
                <w:color w:val="374151"/>
                <w:sz w:val="21"/>
                <w:szCs w:val="21"/>
                <w:rtl w:val="0"/>
              </w:rPr>
              <w:t xml:space="preserve">2023</w:t>
            </w:r>
          </w:p>
        </w:tc>
        <w:tc>
          <w:tcPr/>
          <w:p w:rsidR="00000000" w:rsidDel="00000000" w:rsidP="00000000" w:rsidRDefault="00000000" w:rsidRPr="00000000" w14:paraId="00000088">
            <w:pPr>
              <w:spacing w:before="240" w:lineRule="auto"/>
              <w:rPr/>
            </w:pPr>
            <w:hyperlink r:id="rId21">
              <w:r w:rsidDel="00000000" w:rsidR="00000000" w:rsidRPr="00000000">
                <w:rPr>
                  <w:color w:val="0000ff"/>
                  <w:u w:val="single"/>
                  <w:rtl w:val="0"/>
                </w:rPr>
                <w:t xml:space="preserve">7 dicembre 2023, n. 33</w:t>
              </w:r>
            </w:hyperlink>
            <w:r w:rsidDel="00000000" w:rsidR="00000000" w:rsidRPr="00000000">
              <w:rPr>
                <w:rtl w:val="0"/>
              </w:rPr>
            </w:r>
          </w:p>
        </w:tc>
        <w:tc>
          <w:tcPr/>
          <w:p w:rsidR="00000000" w:rsidDel="00000000" w:rsidP="00000000" w:rsidRDefault="00000000" w:rsidRPr="00000000" w14:paraId="00000089">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Interventi PNRR gestiti sul modulo finanziario del sistema ReGiS. Operazioni contabili esercizio finanziario 2023.</w:t>
            </w:r>
          </w:p>
        </w:tc>
        <w:tc>
          <w:tcPr/>
          <w:p w:rsidR="00000000" w:rsidDel="00000000" w:rsidP="00000000" w:rsidRDefault="00000000" w:rsidRPr="00000000" w14:paraId="0000008A">
            <w:pPr>
              <w:spacing w:before="240" w:lineRule="auto"/>
              <w:rPr>
                <w:rFonts w:ascii="Arial" w:cs="Arial" w:eastAsia="Arial" w:hAnsi="Arial"/>
                <w:color w:val="374151"/>
                <w:sz w:val="21"/>
                <w:szCs w:val="21"/>
              </w:rPr>
            </w:pPr>
            <w:r w:rsidDel="00000000" w:rsidR="00000000" w:rsidRPr="00000000">
              <w:rPr>
                <w:rFonts w:ascii="Helvetica Neue" w:cs="Helvetica Neue" w:eastAsia="Helvetica Neue" w:hAnsi="Helvetica Neue"/>
                <w:color w:val="1a1a1a"/>
                <w:sz w:val="22"/>
                <w:szCs w:val="22"/>
                <w:rtl w:val="0"/>
              </w:rPr>
              <w:t xml:space="preserve">Con la presente circolare si forniscono alle Amministrazioni che nell'ambito degli interventi del PNRR utilizzano il sistema informativo ReGis - modulo finanziario, i termini per emettere gli OPF al fine di assicurare la corretta gestione delle operazioni contabili di fine esercizio, visto l'approssimarsi della chiusura dell’esercizio finanziario 2023.</w:t>
            </w:r>
            <w:r w:rsidDel="00000000" w:rsidR="00000000" w:rsidRPr="00000000">
              <w:rPr>
                <w:rtl w:val="0"/>
              </w:rPr>
            </w:r>
          </w:p>
        </w:tc>
        <w:tc>
          <w:tcPr/>
          <w:p w:rsidR="00000000" w:rsidDel="00000000" w:rsidP="00000000" w:rsidRDefault="00000000" w:rsidRPr="00000000" w14:paraId="0000008B">
            <w:pPr>
              <w:spacing w:before="240" w:lineRule="auto"/>
              <w:rPr>
                <w:rFonts w:ascii="Helvetica Neue" w:cs="Helvetica Neue" w:eastAsia="Helvetica Neue" w:hAnsi="Helvetica Neue"/>
                <w:color w:val="1a1a1a"/>
                <w:sz w:val="22"/>
                <w:szCs w:val="22"/>
              </w:rPr>
            </w:pPr>
            <w:r w:rsidDel="00000000" w:rsidR="00000000" w:rsidRPr="00000000">
              <w:rPr>
                <w:rtl w:val="0"/>
              </w:rPr>
              <w:t xml:space="preserve">Nessuna</w:t>
            </w:r>
            <w:r w:rsidDel="00000000" w:rsidR="00000000" w:rsidRPr="00000000">
              <w:rPr>
                <w:rtl w:val="0"/>
              </w:rPr>
            </w:r>
          </w:p>
        </w:tc>
        <w:tc>
          <w:tcPr/>
          <w:p w:rsidR="00000000" w:rsidDel="00000000" w:rsidP="00000000" w:rsidRDefault="00000000" w:rsidRPr="00000000" w14:paraId="0000008C">
            <w:pPr>
              <w:spacing w:before="240" w:lineRule="auto"/>
              <w:rPr>
                <w:rFonts w:ascii="Helvetica Neue" w:cs="Helvetica Neue" w:eastAsia="Helvetica Neue" w:hAnsi="Helvetica Neue"/>
                <w:color w:val="1a1a1a"/>
                <w:sz w:val="22"/>
                <w:szCs w:val="22"/>
              </w:rPr>
            </w:pPr>
            <w:r w:rsidDel="00000000" w:rsidR="00000000" w:rsidRPr="00000000">
              <w:rPr>
                <w:rtl w:val="0"/>
              </w:rPr>
              <w:t xml:space="preserve">Nessuna</w:t>
            </w:r>
            <w:r w:rsidDel="00000000" w:rsidR="00000000" w:rsidRPr="00000000">
              <w:rPr>
                <w:rtl w:val="0"/>
              </w:rPr>
            </w:r>
          </w:p>
        </w:tc>
      </w:tr>
      <w:tr>
        <w:trPr>
          <w:cantSplit w:val="0"/>
          <w:trHeight w:val="904" w:hRule="atLeast"/>
          <w:tblHeader w:val="0"/>
        </w:trPr>
        <w:tc>
          <w:tcPr/>
          <w:p w:rsidR="00000000" w:rsidDel="00000000" w:rsidP="00000000" w:rsidRDefault="00000000" w:rsidRPr="00000000" w14:paraId="0000008D">
            <w:pPr>
              <w:spacing w:before="240" w:lineRule="auto"/>
              <w:rPr>
                <w:rFonts w:ascii="Arial" w:cs="Arial" w:eastAsia="Arial" w:hAnsi="Arial"/>
                <w:b w:val="1"/>
                <w:bCs w:val="1"/>
                <w:color w:val="374151"/>
                <w:sz w:val="21"/>
                <w:szCs w:val="21"/>
              </w:rPr>
            </w:pPr>
            <w:r w:rsidDel="00000000" w:rsidR="00000000" w:rsidRPr="00000000">
              <w:rPr>
                <w:rFonts w:ascii="Arial" w:cs="Arial" w:eastAsia="Arial" w:hAnsi="Arial"/>
                <w:b w:val="1"/>
                <w:bCs w:val="1"/>
                <w:color w:val="374151"/>
                <w:sz w:val="21"/>
                <w:szCs w:val="21"/>
                <w:rtl w:val="0"/>
              </w:rPr>
              <w:t xml:space="preserve">2023</w:t>
            </w:r>
          </w:p>
        </w:tc>
        <w:tc>
          <w:tcPr/>
          <w:p w:rsidR="00000000" w:rsidDel="00000000" w:rsidP="00000000" w:rsidRDefault="00000000" w:rsidRPr="00000000" w14:paraId="0000008E">
            <w:pPr>
              <w:spacing w:before="240" w:lineRule="auto"/>
              <w:rPr/>
            </w:pPr>
            <w:hyperlink r:id="rId22">
              <w:r w:rsidDel="00000000" w:rsidR="00000000" w:rsidRPr="00000000">
                <w:rPr>
                  <w:color w:val="0000ff"/>
                  <w:u w:val="single"/>
                  <w:rtl w:val="0"/>
                </w:rPr>
                <w:t xml:space="preserve">1 dicembre 2023, n. 32</w:t>
              </w:r>
            </w:hyperlink>
            <w:r w:rsidDel="00000000" w:rsidR="00000000" w:rsidRPr="00000000">
              <w:rPr>
                <w:rtl w:val="0"/>
              </w:rPr>
            </w:r>
          </w:p>
        </w:tc>
        <w:tc>
          <w:tcPr/>
          <w:p w:rsidR="00000000" w:rsidDel="00000000" w:rsidP="00000000" w:rsidRDefault="00000000" w:rsidRPr="00000000" w14:paraId="0000008F">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Piano Nazionale di Ripresa e Resilienza (PNRR) - Rendicontazione Milestone/Target (M&amp;T) connessi alla quinta “Richiesta di pagamento” alla C.E.</w:t>
            </w:r>
          </w:p>
        </w:tc>
        <w:tc>
          <w:tcPr/>
          <w:p w:rsidR="00000000" w:rsidDel="00000000" w:rsidP="00000000" w:rsidRDefault="00000000" w:rsidRPr="00000000" w14:paraId="00000090">
            <w:pPr>
              <w:spacing w:before="240"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La Circolare RGS fornisce puntuali istruzioni a tutte le Unità di Missione PNRR ministeriali ai fini della rendicontazione di milestone e target di competenza contenute all'interno della quinta richiesta di pagamento PNRR da inviare alla Commissione europea</w:t>
            </w:r>
          </w:p>
        </w:tc>
        <w:tc>
          <w:tcPr/>
          <w:p w:rsidR="00000000" w:rsidDel="00000000" w:rsidP="00000000" w:rsidRDefault="00000000" w:rsidRPr="00000000" w14:paraId="00000091">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c>
          <w:tcPr/>
          <w:p w:rsidR="00000000" w:rsidDel="00000000" w:rsidP="00000000" w:rsidRDefault="00000000" w:rsidRPr="00000000" w14:paraId="00000092">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r>
      <w:tr>
        <w:trPr>
          <w:cantSplit w:val="0"/>
          <w:trHeight w:val="904" w:hRule="atLeast"/>
          <w:tblHeader w:val="0"/>
        </w:trPr>
        <w:tc>
          <w:tcPr/>
          <w:p w:rsidR="00000000" w:rsidDel="00000000" w:rsidP="00000000" w:rsidRDefault="00000000" w:rsidRPr="00000000" w14:paraId="00000093">
            <w:pPr>
              <w:spacing w:before="240" w:lineRule="auto"/>
              <w:rPr>
                <w:rFonts w:ascii="Arial" w:cs="Arial" w:eastAsia="Arial" w:hAnsi="Arial"/>
                <w:b w:val="1"/>
                <w:bCs w:val="1"/>
                <w:color w:val="374151"/>
                <w:sz w:val="21"/>
                <w:szCs w:val="21"/>
              </w:rPr>
            </w:pPr>
            <w:r w:rsidDel="00000000" w:rsidR="00000000" w:rsidRPr="00000000">
              <w:rPr>
                <w:rFonts w:ascii="Arial" w:cs="Arial" w:eastAsia="Arial" w:hAnsi="Arial"/>
                <w:b w:val="1"/>
                <w:bCs w:val="1"/>
                <w:color w:val="374151"/>
                <w:sz w:val="21"/>
                <w:szCs w:val="21"/>
                <w:rtl w:val="0"/>
              </w:rPr>
              <w:t xml:space="preserve">2023</w:t>
            </w:r>
          </w:p>
        </w:tc>
        <w:tc>
          <w:tcPr/>
          <w:p w:rsidR="00000000" w:rsidDel="00000000" w:rsidP="00000000" w:rsidRDefault="00000000" w:rsidRPr="00000000" w14:paraId="00000094">
            <w:pPr>
              <w:spacing w:before="240" w:lineRule="auto"/>
              <w:rPr/>
            </w:pPr>
            <w:hyperlink r:id="rId23">
              <w:r w:rsidDel="00000000" w:rsidR="00000000" w:rsidRPr="00000000">
                <w:rPr>
                  <w:color w:val="0000ff"/>
                  <w:u w:val="single"/>
                  <w:rtl w:val="0"/>
                </w:rPr>
                <w:t xml:space="preserve">28 novembre 2023, n. 31</w:t>
              </w:r>
            </w:hyperlink>
            <w:r w:rsidDel="00000000" w:rsidR="00000000" w:rsidRPr="00000000">
              <w:rPr>
                <w:rtl w:val="0"/>
              </w:rPr>
              <w:t xml:space="preserve"> </w:t>
            </w:r>
          </w:p>
        </w:tc>
        <w:tc>
          <w:tcPr/>
          <w:p w:rsidR="00000000" w:rsidDel="00000000" w:rsidP="00000000" w:rsidRDefault="00000000" w:rsidRPr="00000000" w14:paraId="00000095">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Procedure di trasferimento delle risorse del “Fondo per l’avvio di opere indifferibili” di cui all’articolo 26, commi 7 e 7-bis, del decreto-legge 17 maggio 2022, n. 50 e ss.mm. e ii..</w:t>
            </w:r>
          </w:p>
        </w:tc>
        <w:tc>
          <w:tcPr/>
          <w:p w:rsidR="00000000" w:rsidDel="00000000" w:rsidP="00000000" w:rsidRDefault="00000000" w:rsidRPr="00000000" w14:paraId="00000096">
            <w:pPr>
              <w:spacing w:before="240"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Con la circolare del 28 novembre 2023, n. 31 vengono fornite le indicazioni operative che le Amministrazioni interessate sono tenute a seguire affinché la Ragioneria Generale dello Stato - Ispettorato Generale per i rapporti finanziari con l’Unione Europea (IGRUE), sulla base delle procedure di cui alla legge 16 aprile 1987, n. 183 e del regolamento di cui al decreto del Presidente della Repubblica 29 dicembre 1988, n. 568, possa procedere al trasferimento delle risorse del Fondo opere indifferibili</w:t>
            </w:r>
          </w:p>
        </w:tc>
        <w:tc>
          <w:tcPr/>
          <w:p w:rsidR="00000000" w:rsidDel="00000000" w:rsidP="00000000" w:rsidRDefault="00000000" w:rsidRPr="00000000" w14:paraId="00000097">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c>
          <w:tcPr/>
          <w:p w:rsidR="00000000" w:rsidDel="00000000" w:rsidP="00000000" w:rsidRDefault="00000000" w:rsidRPr="00000000" w14:paraId="00000098">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r>
      <w:tr>
        <w:trPr>
          <w:cantSplit w:val="0"/>
          <w:trHeight w:val="904" w:hRule="atLeast"/>
          <w:tblHeader w:val="0"/>
        </w:trPr>
        <w:tc>
          <w:tcPr/>
          <w:p w:rsidR="00000000" w:rsidDel="00000000" w:rsidP="00000000" w:rsidRDefault="00000000" w:rsidRPr="00000000" w14:paraId="00000099">
            <w:pPr>
              <w:spacing w:before="240" w:lineRule="auto"/>
              <w:rPr>
                <w:rFonts w:ascii="Arial" w:cs="Arial" w:eastAsia="Arial" w:hAnsi="Arial"/>
                <w:color w:val="374151"/>
                <w:sz w:val="21"/>
                <w:szCs w:val="21"/>
              </w:rPr>
            </w:pPr>
            <w:r w:rsidDel="00000000" w:rsidR="00000000" w:rsidRPr="00000000">
              <w:rPr>
                <w:rFonts w:ascii="Arial" w:cs="Arial" w:eastAsia="Arial" w:hAnsi="Arial"/>
                <w:b w:val="1"/>
                <w:bCs w:val="1"/>
                <w:color w:val="374151"/>
                <w:sz w:val="21"/>
                <w:szCs w:val="21"/>
                <w:rtl w:val="0"/>
              </w:rPr>
              <w:t xml:space="preserve">2023</w:t>
            </w:r>
            <w:r w:rsidDel="00000000" w:rsidR="00000000" w:rsidRPr="00000000">
              <w:rPr>
                <w:rtl w:val="0"/>
              </w:rPr>
            </w:r>
          </w:p>
        </w:tc>
        <w:tc>
          <w:tcPr/>
          <w:p w:rsidR="00000000" w:rsidDel="00000000" w:rsidP="00000000" w:rsidRDefault="00000000" w:rsidRPr="00000000" w14:paraId="0000009A">
            <w:pPr>
              <w:spacing w:before="240" w:lineRule="auto"/>
              <w:rPr>
                <w:rFonts w:ascii="Arial" w:cs="Arial" w:eastAsia="Arial" w:hAnsi="Arial"/>
                <w:color w:val="374151"/>
                <w:sz w:val="21"/>
                <w:szCs w:val="21"/>
              </w:rPr>
            </w:pPr>
            <w:hyperlink r:id="rId24">
              <w:r w:rsidDel="00000000" w:rsidR="00000000" w:rsidRPr="00000000">
                <w:rPr>
                  <w:rFonts w:ascii="Arial" w:cs="Arial" w:eastAsia="Arial" w:hAnsi="Arial"/>
                  <w:color w:val="0000ff"/>
                  <w:sz w:val="21"/>
                  <w:szCs w:val="21"/>
                  <w:u w:val="single"/>
                  <w:rtl w:val="0"/>
                </w:rPr>
                <w:t xml:space="preserve">15 settembre 2023, n. 27</w:t>
              </w:r>
            </w:hyperlink>
            <w:r w:rsidDel="00000000" w:rsidR="00000000" w:rsidRPr="00000000">
              <w:rPr>
                <w:rtl w:val="0"/>
              </w:rPr>
            </w:r>
          </w:p>
        </w:tc>
        <w:tc>
          <w:tcPr/>
          <w:p w:rsidR="00000000" w:rsidDel="00000000" w:rsidP="00000000" w:rsidRDefault="00000000" w:rsidRPr="00000000" w14:paraId="0000009B">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Integrazione delle Linee Guida per lo svolgimento delle attività di controllo e rendicontazione delle Misure PNRR di competenza delle Amministrazioni centrali e dei Soggetti Attuatori. Adozione dell’Appendice tematica Rilevazione delle titolarità effettive ex art. 22 par. 2 lett. d) Reg. (UE) 2021/241 e comunicazione alla UIF di operazioni sospette da parte della Pubblica amministrazione ex art. 10, d.lgs. 231/2007.</w:t>
            </w:r>
          </w:p>
        </w:tc>
        <w:tc>
          <w:tcPr/>
          <w:p w:rsidR="00000000" w:rsidDel="00000000" w:rsidP="00000000" w:rsidRDefault="00000000" w:rsidRPr="00000000" w14:paraId="0000009C">
            <w:pPr>
              <w:spacing w:before="240"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La circolare della RGS adotta l'Appendice tematica Rilevazione delle titolarità effettive ex art. 22 par. 2 lett. d) Reg. (UE) 2021/241 e comunicazione alla UIF di operazioni sospette da parte della Pubblica amministrazione ex art. 10, d.lgs. 231/2007, la quale integra le "Linee Guida per lo svolgimento delle attività di controllo e rendicontazione delle Misure PNRR di competenza delle Amministrazioni centrali e dei Soggetti Attuatori", a suo tempo adottate con Circolare RGS n. 30 dell'11 agosto 2022. In particolare, l'appendice tematica stabilisce le procedure che devono essere seguite dalle Amministrazioni Centrali titolari di misure PNRR e dai relativi Soggetti Attuatori nonchè gli applicativi informatici da utilizzare.</w:t>
            </w:r>
          </w:p>
        </w:tc>
        <w:tc>
          <w:tcPr/>
          <w:p w:rsidR="00000000" w:rsidDel="00000000" w:rsidP="00000000" w:rsidRDefault="00000000" w:rsidRPr="00000000" w14:paraId="0000009D">
            <w:pPr>
              <w:spacing w:before="240" w:lineRule="auto"/>
              <w:rPr>
                <w:rFonts w:ascii="Arial" w:cs="Arial" w:eastAsia="Arial" w:hAnsi="Arial"/>
                <w:color w:val="374151"/>
                <w:sz w:val="21"/>
                <w:szCs w:val="21"/>
              </w:rPr>
            </w:pPr>
            <w:r w:rsidDel="00000000" w:rsidR="00000000" w:rsidRPr="00000000">
              <w:rPr>
                <w:rtl w:val="0"/>
              </w:rPr>
              <w:t xml:space="preserve">Circolare n. 30 dell'11 agosto 2022</w:t>
            </w:r>
            <w:r w:rsidDel="00000000" w:rsidR="00000000" w:rsidRPr="00000000">
              <w:rPr>
                <w:rtl w:val="0"/>
              </w:rPr>
            </w:r>
          </w:p>
        </w:tc>
        <w:tc>
          <w:tcPr/>
          <w:p w:rsidR="00000000" w:rsidDel="00000000" w:rsidP="00000000" w:rsidRDefault="00000000" w:rsidRPr="00000000" w14:paraId="0000009E">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r>
      <w:tr>
        <w:trPr>
          <w:cantSplit w:val="0"/>
          <w:trHeight w:val="904" w:hRule="atLeast"/>
          <w:tblHeader w:val="0"/>
        </w:trPr>
        <w:tc>
          <w:tcPr>
            <w:tcBorders>
              <w:top w:color="bfbfbf" w:space="0" w:sz="4" w:val="single"/>
              <w:left w:color="bfbfbf" w:space="0" w:sz="4" w:val="single"/>
              <w:bottom w:color="bfbfbf" w:space="0" w:sz="4" w:val="single"/>
              <w:right w:color="bfbfbf" w:space="0" w:sz="4" w:val="single"/>
            </w:tcBorders>
            <w:shd w:fill="c6d9f1" w:val="clear"/>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before="0" w:lineRule="auto"/>
              <w:rPr>
                <w:b w:val="1"/>
                <w:bCs w:val="1"/>
              </w:rPr>
            </w:pPr>
            <w:r w:rsidDel="00000000" w:rsidR="00000000" w:rsidRPr="00000000">
              <w:rPr>
                <w:b w:val="1"/>
                <w:bCs w:val="1"/>
                <w:rtl w:val="0"/>
              </w:rPr>
              <w:t xml:space="preserve">Anno</w:t>
            </w:r>
          </w:p>
        </w:tc>
        <w:tc>
          <w:tcPr>
            <w:tcBorders>
              <w:top w:color="bfbfbf" w:space="0" w:sz="4" w:val="single"/>
              <w:left w:color="bfbfbf" w:space="0" w:sz="4" w:val="single"/>
              <w:bottom w:color="bfbfbf" w:space="0" w:sz="4" w:val="single"/>
              <w:right w:color="bfbfbf" w:space="0" w:sz="4" w:val="single"/>
            </w:tcBorders>
            <w:shd w:fill="c6d9f1" w:val="clear"/>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260" w:before="0" w:line="264" w:lineRule="auto"/>
              <w:rPr>
                <w:b w:val="1"/>
                <w:bCs w:val="1"/>
              </w:rPr>
            </w:pPr>
            <w:r w:rsidDel="00000000" w:rsidR="00000000" w:rsidRPr="00000000">
              <w:rPr>
                <w:b w:val="1"/>
                <w:bCs w:val="1"/>
                <w:rtl w:val="0"/>
              </w:rPr>
              <w:t xml:space="preserve">Data e Numero</w:t>
            </w:r>
          </w:p>
        </w:tc>
        <w:tc>
          <w:tcPr>
            <w:tcBorders>
              <w:top w:color="bfbfbf" w:space="0" w:sz="4" w:val="single"/>
              <w:left w:color="bfbfbf" w:space="0" w:sz="4" w:val="single"/>
              <w:bottom w:color="bfbfbf" w:space="0" w:sz="4" w:val="single"/>
              <w:right w:color="bfbfbf" w:space="0" w:sz="4" w:val="single"/>
            </w:tcBorders>
            <w:shd w:fill="c6d9f1" w:val="clear"/>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260" w:before="0" w:line="264" w:lineRule="auto"/>
              <w:rPr>
                <w:b w:val="1"/>
                <w:bCs w:val="1"/>
              </w:rPr>
            </w:pPr>
            <w:r w:rsidDel="00000000" w:rsidR="00000000" w:rsidRPr="00000000">
              <w:rPr>
                <w:b w:val="1"/>
                <w:bCs w:val="1"/>
                <w:rtl w:val="0"/>
              </w:rPr>
              <w:t xml:space="preserve">Oggetto</w:t>
            </w:r>
          </w:p>
        </w:tc>
        <w:tc>
          <w:tcPr>
            <w:tcBorders>
              <w:top w:color="bfbfbf" w:space="0" w:sz="4" w:val="single"/>
              <w:left w:color="bfbfbf" w:space="0" w:sz="4" w:val="single"/>
              <w:bottom w:color="bfbfbf" w:space="0" w:sz="4" w:val="single"/>
              <w:right w:color="bfbfbf" w:space="0" w:sz="4" w:val="single"/>
            </w:tcBorders>
            <w:shd w:fill="c6d9f1" w:val="clear"/>
          </w:tcPr>
          <w:p w:rsidR="00000000" w:rsidDel="00000000" w:rsidP="00000000" w:rsidRDefault="00000000" w:rsidRPr="00000000" w14:paraId="000000A2">
            <w:pPr>
              <w:spacing w:after="260" w:before="0" w:line="264" w:lineRule="auto"/>
              <w:rPr>
                <w:b w:val="1"/>
                <w:bCs w:val="1"/>
                <w:color w:val="366091"/>
              </w:rPr>
            </w:pPr>
            <w:r w:rsidDel="00000000" w:rsidR="00000000" w:rsidRPr="00000000">
              <w:rPr>
                <w:b w:val="1"/>
                <w:bCs w:val="1"/>
                <w:rtl w:val="0"/>
              </w:rPr>
              <w:t xml:space="preserve">Contenuti</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c6d9f1" w:val="clear"/>
          </w:tcPr>
          <w:p w:rsidR="00000000" w:rsidDel="00000000" w:rsidP="00000000" w:rsidRDefault="00000000" w:rsidRPr="00000000" w14:paraId="000000A3">
            <w:pPr>
              <w:spacing w:before="0" w:lineRule="auto"/>
              <w:rPr>
                <w:b w:val="1"/>
                <w:bCs w:val="1"/>
              </w:rPr>
            </w:pPr>
            <w:r w:rsidDel="00000000" w:rsidR="00000000" w:rsidRPr="00000000">
              <w:rPr>
                <w:b w:val="1"/>
                <w:bCs w:val="1"/>
                <w:rtl w:val="0"/>
              </w:rPr>
              <w:t xml:space="preserve">Circolare che aggiorna</w:t>
            </w:r>
          </w:p>
        </w:tc>
        <w:tc>
          <w:tcPr>
            <w:tcBorders>
              <w:top w:color="bfbfbf" w:space="0" w:sz="4" w:val="single"/>
              <w:left w:color="bfbfbf" w:space="0" w:sz="4" w:val="single"/>
              <w:bottom w:color="bfbfbf" w:space="0" w:sz="4" w:val="single"/>
              <w:right w:color="bfbfbf" w:space="0" w:sz="4" w:val="single"/>
            </w:tcBorders>
            <w:shd w:fill="c6d9f1" w:val="clear"/>
          </w:tcPr>
          <w:p w:rsidR="00000000" w:rsidDel="00000000" w:rsidP="00000000" w:rsidRDefault="00000000" w:rsidRPr="00000000" w14:paraId="000000A4">
            <w:pPr>
              <w:spacing w:before="0" w:lineRule="auto"/>
              <w:rPr>
                <w:b w:val="1"/>
                <w:bCs w:val="1"/>
              </w:rPr>
            </w:pPr>
            <w:r w:rsidDel="00000000" w:rsidR="00000000" w:rsidRPr="00000000">
              <w:rPr>
                <w:b w:val="1"/>
                <w:bCs w:val="1"/>
                <w:rtl w:val="0"/>
              </w:rPr>
              <w:t xml:space="preserve">Circolare aggiornata da</w:t>
            </w:r>
          </w:p>
        </w:tc>
      </w:tr>
      <w:tr>
        <w:trPr>
          <w:cantSplit w:val="0"/>
          <w:trHeight w:val="618" w:hRule="atLeast"/>
          <w:tblHeader w:val="0"/>
        </w:trPr>
        <w:tc>
          <w:tcPr/>
          <w:p w:rsidR="00000000" w:rsidDel="00000000" w:rsidP="00000000" w:rsidRDefault="00000000" w:rsidRPr="00000000" w14:paraId="000000A5">
            <w:pPr>
              <w:spacing w:before="240" w:lineRule="auto"/>
              <w:rPr>
                <w:rFonts w:ascii="Times New Roman" w:cs="Times New Roman" w:eastAsia="Times New Roman" w:hAnsi="Times New Roman"/>
              </w:rPr>
            </w:pPr>
            <w:r w:rsidDel="00000000" w:rsidR="00000000" w:rsidRPr="00000000">
              <w:rPr>
                <w:rFonts w:ascii="Arial" w:cs="Arial" w:eastAsia="Arial" w:hAnsi="Arial"/>
                <w:b w:val="1"/>
                <w:bCs w:val="1"/>
                <w:color w:val="374151"/>
                <w:sz w:val="21"/>
                <w:szCs w:val="21"/>
                <w:rtl w:val="0"/>
              </w:rPr>
              <w:t xml:space="preserve">2023</w:t>
            </w:r>
            <w:r w:rsidDel="00000000" w:rsidR="00000000" w:rsidRPr="00000000">
              <w:rPr>
                <w:rtl w:val="0"/>
              </w:rPr>
            </w:r>
          </w:p>
        </w:tc>
        <w:tc>
          <w:tcPr/>
          <w:p w:rsidR="00000000" w:rsidDel="00000000" w:rsidP="00000000" w:rsidRDefault="00000000" w:rsidRPr="00000000" w14:paraId="000000A6">
            <w:pPr>
              <w:spacing w:before="240" w:lineRule="auto"/>
              <w:rPr>
                <w:rFonts w:ascii="Times New Roman" w:cs="Times New Roman" w:eastAsia="Times New Roman" w:hAnsi="Times New Roman"/>
              </w:rPr>
            </w:pPr>
            <w:hyperlink r:id="rId25">
              <w:r w:rsidDel="00000000" w:rsidR="00000000" w:rsidRPr="00000000">
                <w:rPr>
                  <w:color w:val="0563c1"/>
                  <w:sz w:val="22"/>
                  <w:szCs w:val="22"/>
                  <w:u w:val="single"/>
                  <w:rtl w:val="0"/>
                </w:rPr>
                <w:t xml:space="preserve">8 agosto 2023, n. 26</w:t>
              </w:r>
            </w:hyperlink>
            <w:r w:rsidDel="00000000" w:rsidR="00000000" w:rsidRPr="00000000">
              <w:rPr>
                <w:rtl w:val="0"/>
              </w:rPr>
            </w:r>
          </w:p>
        </w:tc>
        <w:tc>
          <w:tcPr/>
          <w:p w:rsidR="00000000" w:rsidDel="00000000" w:rsidP="00000000" w:rsidRDefault="00000000" w:rsidRPr="00000000" w14:paraId="000000A7">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Piano Nazionale di Ripresa e Resilienza (PNRR) - Rendicontazione Milestone/Target (M&amp;T) connessi alla quarta “Richiesta di pagamento” alla C.E.</w:t>
            </w:r>
          </w:p>
        </w:tc>
        <w:tc>
          <w:tcPr/>
          <w:p w:rsidR="00000000" w:rsidDel="00000000" w:rsidP="00000000" w:rsidRDefault="00000000" w:rsidRPr="00000000" w14:paraId="000000A8">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La Circolare RGS fornisce puntuali istruzioni a tutte le Unità di Missione PNRR ministeriali ai fini della rendicontazione di milestone e target di competenza contenute all'interno della quarta richiesta di pagamento da inviare alla Commissione europea.</w:t>
            </w:r>
            <w:r w:rsidDel="00000000" w:rsidR="00000000" w:rsidRPr="00000000">
              <w:rPr>
                <w:rtl w:val="0"/>
              </w:rPr>
            </w:r>
          </w:p>
        </w:tc>
        <w:tc>
          <w:tcPr/>
          <w:p w:rsidR="00000000" w:rsidDel="00000000" w:rsidP="00000000" w:rsidRDefault="00000000" w:rsidRPr="00000000" w14:paraId="000000A9">
            <w:pPr>
              <w:spacing w:before="240" w:lineRule="auto"/>
              <w:rPr/>
            </w:pPr>
            <w:r w:rsidDel="00000000" w:rsidR="00000000" w:rsidRPr="00000000">
              <w:rPr>
                <w:rtl w:val="0"/>
              </w:rPr>
              <w:t xml:space="preserve">Nessuna</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AC">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r>
      <w:tr>
        <w:trPr>
          <w:cantSplit w:val="0"/>
          <w:tblHeader w:val="0"/>
        </w:trPr>
        <w:tc>
          <w:tcPr/>
          <w:p w:rsidR="00000000" w:rsidDel="00000000" w:rsidP="00000000" w:rsidRDefault="00000000" w:rsidRPr="00000000" w14:paraId="000000AD">
            <w:pPr>
              <w:spacing w:before="240" w:lineRule="auto"/>
              <w:rPr>
                <w:rFonts w:ascii="Times New Roman" w:cs="Times New Roman" w:eastAsia="Times New Roman" w:hAnsi="Times New Roman"/>
              </w:rPr>
            </w:pPr>
            <w:r w:rsidDel="00000000" w:rsidR="00000000" w:rsidRPr="00000000">
              <w:rPr>
                <w:rFonts w:ascii="Arial" w:cs="Arial" w:eastAsia="Arial" w:hAnsi="Arial"/>
                <w:b w:val="1"/>
                <w:bCs w:val="1"/>
                <w:color w:val="374151"/>
                <w:sz w:val="21"/>
                <w:szCs w:val="21"/>
                <w:rtl w:val="0"/>
              </w:rPr>
              <w:t xml:space="preserve">2023</w:t>
            </w:r>
            <w:r w:rsidDel="00000000" w:rsidR="00000000" w:rsidRPr="00000000">
              <w:rPr>
                <w:rtl w:val="0"/>
              </w:rPr>
            </w:r>
          </w:p>
        </w:tc>
        <w:tc>
          <w:tcPr/>
          <w:p w:rsidR="00000000" w:rsidDel="00000000" w:rsidP="00000000" w:rsidRDefault="00000000" w:rsidRPr="00000000" w14:paraId="000000AE">
            <w:pPr>
              <w:spacing w:before="240" w:lineRule="auto"/>
              <w:rPr>
                <w:rFonts w:ascii="Times New Roman" w:cs="Times New Roman" w:eastAsia="Times New Roman" w:hAnsi="Times New Roman"/>
              </w:rPr>
            </w:pPr>
            <w:hyperlink r:id="rId26">
              <w:r w:rsidDel="00000000" w:rsidR="00000000" w:rsidRPr="00000000">
                <w:rPr>
                  <w:rFonts w:ascii="Arial" w:cs="Arial" w:eastAsia="Arial" w:hAnsi="Arial"/>
                  <w:color w:val="0563c1"/>
                  <w:sz w:val="21"/>
                  <w:szCs w:val="21"/>
                  <w:u w:val="single"/>
                  <w:rtl w:val="0"/>
                </w:rPr>
                <w:t xml:space="preserve">24 luglio 2023, n. 25</w:t>
              </w:r>
            </w:hyperlink>
            <w:r w:rsidDel="00000000" w:rsidR="00000000" w:rsidRPr="00000000">
              <w:rPr>
                <w:rtl w:val="0"/>
              </w:rPr>
            </w:r>
          </w:p>
        </w:tc>
        <w:tc>
          <w:tcPr/>
          <w:p w:rsidR="00000000" w:rsidDel="00000000" w:rsidP="00000000" w:rsidRDefault="00000000" w:rsidRPr="00000000" w14:paraId="000000AF">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Linee guida operative relative alle modalità di attivazione delle anticipazioni di cassa a valere sulle contabilità di tesoreria NGEU</w:t>
            </w:r>
          </w:p>
        </w:tc>
        <w:tc>
          <w:tcPr/>
          <w:p w:rsidR="00000000" w:rsidDel="00000000" w:rsidP="00000000" w:rsidRDefault="00000000" w:rsidRPr="00000000" w14:paraId="000000B0">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La circolare fornisce indicazioni operative per la richiesta di anticipazione, da parte dei Soggetti attuatori degli interventi del PNRR, prevista dall’art. 6 del decreto-legge n. 13/2023, convertito con modificazioni dalla legge n. 41/2023, riguardante in particolare i cosiddetti “progetti in essere”, ossia quelli finanziati a valere sulle previgenti risorse del bilancio dello Stato e successivamente inseriti tra le Misure del PNRR.</w:t>
            </w:r>
            <w:r w:rsidDel="00000000" w:rsidR="00000000" w:rsidRPr="00000000">
              <w:rPr>
                <w:rtl w:val="0"/>
              </w:rPr>
            </w:r>
          </w:p>
        </w:tc>
        <w:tc>
          <w:tcPr/>
          <w:p w:rsidR="00000000" w:rsidDel="00000000" w:rsidP="00000000" w:rsidRDefault="00000000" w:rsidRPr="00000000" w14:paraId="000000B1">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c>
          <w:tcPr/>
          <w:p w:rsidR="00000000" w:rsidDel="00000000" w:rsidP="00000000" w:rsidRDefault="00000000" w:rsidRPr="00000000" w14:paraId="000000B2">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r>
      <w:tr>
        <w:trPr>
          <w:cantSplit w:val="0"/>
          <w:tblHeader w:val="0"/>
        </w:trPr>
        <w:tc>
          <w:tcPr/>
          <w:p w:rsidR="00000000" w:rsidDel="00000000" w:rsidP="00000000" w:rsidRDefault="00000000" w:rsidRPr="00000000" w14:paraId="000000B3">
            <w:pPr>
              <w:spacing w:before="240" w:lineRule="auto"/>
              <w:rPr>
                <w:rFonts w:ascii="Times New Roman" w:cs="Times New Roman" w:eastAsia="Times New Roman" w:hAnsi="Times New Roman"/>
              </w:rPr>
            </w:pPr>
            <w:r w:rsidDel="00000000" w:rsidR="00000000" w:rsidRPr="00000000">
              <w:rPr>
                <w:rFonts w:ascii="Arial" w:cs="Arial" w:eastAsia="Arial" w:hAnsi="Arial"/>
                <w:b w:val="1"/>
                <w:bCs w:val="1"/>
                <w:color w:val="374151"/>
                <w:sz w:val="21"/>
                <w:szCs w:val="21"/>
                <w:rtl w:val="0"/>
              </w:rPr>
              <w:t xml:space="preserve">2023</w:t>
            </w:r>
            <w:r w:rsidDel="00000000" w:rsidR="00000000" w:rsidRPr="00000000">
              <w:rPr>
                <w:rtl w:val="0"/>
              </w:rPr>
            </w:r>
          </w:p>
        </w:tc>
        <w:tc>
          <w:tcPr/>
          <w:p w:rsidR="00000000" w:rsidDel="00000000" w:rsidP="00000000" w:rsidRDefault="00000000" w:rsidRPr="00000000" w14:paraId="000000B4">
            <w:pPr>
              <w:spacing w:before="240" w:lineRule="auto"/>
              <w:rPr>
                <w:rFonts w:ascii="Times New Roman" w:cs="Times New Roman" w:eastAsia="Times New Roman" w:hAnsi="Times New Roman"/>
              </w:rPr>
            </w:pPr>
            <w:hyperlink r:id="rId27">
              <w:r w:rsidDel="00000000" w:rsidR="00000000" w:rsidRPr="00000000">
                <w:rPr>
                  <w:rFonts w:ascii="Arial" w:cs="Arial" w:eastAsia="Arial" w:hAnsi="Arial"/>
                  <w:color w:val="0563c1"/>
                  <w:sz w:val="21"/>
                  <w:szCs w:val="21"/>
                  <w:u w:val="single"/>
                  <w:rtl w:val="0"/>
                </w:rPr>
                <w:t xml:space="preserve">27 aprile 2023, n. 19</w:t>
              </w:r>
            </w:hyperlink>
            <w:r w:rsidDel="00000000" w:rsidR="00000000" w:rsidRPr="00000000">
              <w:rPr>
                <w:rtl w:val="0"/>
              </w:rPr>
            </w:r>
          </w:p>
        </w:tc>
        <w:tc>
          <w:tcPr/>
          <w:p w:rsidR="00000000" w:rsidDel="00000000" w:rsidP="00000000" w:rsidRDefault="00000000" w:rsidRPr="00000000" w14:paraId="000000B5">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Utilizzo del sistema ReGiS per gli adempimenti PNRR e modalità di attivazione delle anticipazioni di cassa a valere sulle contabilità di tesoreria NGEU</w:t>
            </w:r>
          </w:p>
        </w:tc>
        <w:tc>
          <w:tcPr/>
          <w:p w:rsidR="00000000" w:rsidDel="00000000" w:rsidP="00000000" w:rsidRDefault="00000000" w:rsidRPr="00000000" w14:paraId="000000B6">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L’accelerazione del percorso attuativo del PNRR, anche sotto il profilo dello snellimento dei processi di erogazione dei contributi assegnati, riveste la massima importanza per il successo del Piano. Con la presente circolare, il Ministero dell’Economia e delle finanze - Ragioneria generale dello Stato intende fornire chiarimenti e prospettare soluzioni immediatamente operative a fronte delle sollecitazioni pervenute soprattutto dagli Enti locali al fine di superare alcune difficoltà di utilizzo del sistema ReGiS e rafforzare il suo utilizzo ai fini del monitoraggio, rendicontazione ed erogazione delle risorse messe a disposizione con il PNRR. Gli argomenti trattati nella circolare sono:</w:t>
            </w:r>
            <w:r w:rsidDel="00000000" w:rsidR="00000000" w:rsidRPr="00000000">
              <w:rPr>
                <w:rtl w:val="0"/>
              </w:rPr>
            </w:r>
          </w:p>
          <w:p w:rsidR="00000000" w:rsidDel="00000000" w:rsidP="00000000" w:rsidRDefault="00000000" w:rsidRPr="00000000" w14:paraId="000000B7">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a) accreditamento e profilazione degli utenti del sistema;</w:t>
            </w:r>
            <w:r w:rsidDel="00000000" w:rsidR="00000000" w:rsidRPr="00000000">
              <w:rPr>
                <w:rtl w:val="0"/>
              </w:rPr>
            </w:r>
          </w:p>
          <w:p w:rsidR="00000000" w:rsidDel="00000000" w:rsidP="00000000" w:rsidRDefault="00000000" w:rsidRPr="00000000" w14:paraId="000000B8">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b) recupero degli identificativi di progetto tuttora mancanti (CUP ed eventuale descrizione degli interventi) anche con il contributo dei soggetti attuatori;</w:t>
            </w:r>
            <w:r w:rsidDel="00000000" w:rsidR="00000000" w:rsidRPr="00000000">
              <w:rPr>
                <w:rtl w:val="0"/>
              </w:rPr>
            </w:r>
          </w:p>
          <w:p w:rsidR="00000000" w:rsidDel="00000000" w:rsidP="00000000" w:rsidRDefault="00000000" w:rsidRPr="00000000" w14:paraId="000000B9">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c) modalità di correzione dei dati errati;</w:t>
            </w:r>
            <w:r w:rsidDel="00000000" w:rsidR="00000000" w:rsidRPr="00000000">
              <w:rPr>
                <w:rtl w:val="0"/>
              </w:rPr>
            </w:r>
          </w:p>
          <w:p w:rsidR="00000000" w:rsidDel="00000000" w:rsidP="00000000" w:rsidRDefault="00000000" w:rsidRPr="00000000" w14:paraId="000000BA">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d) modalità di attivazione delle anticipazioni di cassa previste dalla normativa vigente.</w:t>
            </w:r>
            <w:r w:rsidDel="00000000" w:rsidR="00000000" w:rsidRPr="00000000">
              <w:rPr>
                <w:rtl w:val="0"/>
              </w:rPr>
            </w:r>
          </w:p>
        </w:tc>
        <w:tc>
          <w:tcPr/>
          <w:p w:rsidR="00000000" w:rsidDel="00000000" w:rsidP="00000000" w:rsidRDefault="00000000" w:rsidRPr="00000000" w14:paraId="000000BB">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c>
          <w:tcPr/>
          <w:p w:rsidR="00000000" w:rsidDel="00000000" w:rsidP="00000000" w:rsidRDefault="00000000" w:rsidRPr="00000000" w14:paraId="000000BC">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r>
      <w:tr>
        <w:trPr>
          <w:cantSplit w:val="0"/>
          <w:tblHeader w:val="0"/>
        </w:trPr>
        <w:tc>
          <w:tcPr/>
          <w:p w:rsidR="00000000" w:rsidDel="00000000" w:rsidP="00000000" w:rsidRDefault="00000000" w:rsidRPr="00000000" w14:paraId="000000BD">
            <w:pPr>
              <w:spacing w:before="240" w:lineRule="auto"/>
              <w:rPr>
                <w:rFonts w:ascii="Times New Roman" w:cs="Times New Roman" w:eastAsia="Times New Roman" w:hAnsi="Times New Roman"/>
              </w:rPr>
            </w:pPr>
            <w:r w:rsidDel="00000000" w:rsidR="00000000" w:rsidRPr="00000000">
              <w:rPr>
                <w:rFonts w:ascii="Arial" w:cs="Arial" w:eastAsia="Arial" w:hAnsi="Arial"/>
                <w:b w:val="1"/>
                <w:bCs w:val="1"/>
                <w:color w:val="374151"/>
                <w:sz w:val="21"/>
                <w:szCs w:val="21"/>
                <w:rtl w:val="0"/>
              </w:rPr>
              <w:t xml:space="preserve">2023</w:t>
            </w:r>
            <w:r w:rsidDel="00000000" w:rsidR="00000000" w:rsidRPr="00000000">
              <w:rPr>
                <w:rtl w:val="0"/>
              </w:rPr>
            </w:r>
          </w:p>
        </w:tc>
        <w:tc>
          <w:tcPr/>
          <w:p w:rsidR="00000000" w:rsidDel="00000000" w:rsidP="00000000" w:rsidRDefault="00000000" w:rsidRPr="00000000" w14:paraId="000000BE">
            <w:pPr>
              <w:spacing w:before="240" w:lineRule="auto"/>
              <w:rPr>
                <w:rFonts w:ascii="Times New Roman" w:cs="Times New Roman" w:eastAsia="Times New Roman" w:hAnsi="Times New Roman"/>
              </w:rPr>
            </w:pPr>
            <w:hyperlink r:id="rId28">
              <w:r w:rsidDel="00000000" w:rsidR="00000000" w:rsidRPr="00000000">
                <w:rPr>
                  <w:rFonts w:ascii="Arial" w:cs="Arial" w:eastAsia="Arial" w:hAnsi="Arial"/>
                  <w:color w:val="0563c1"/>
                  <w:sz w:val="21"/>
                  <w:szCs w:val="21"/>
                  <w:u w:val="single"/>
                  <w:rtl w:val="0"/>
                </w:rPr>
                <w:t xml:space="preserve">14 aprile 2023, n. 16</w:t>
              </w:r>
            </w:hyperlink>
            <w:r w:rsidDel="00000000" w:rsidR="00000000" w:rsidRPr="00000000">
              <w:rPr>
                <w:rtl w:val="0"/>
              </w:rPr>
            </w:r>
          </w:p>
        </w:tc>
        <w:tc>
          <w:tcPr/>
          <w:p w:rsidR="00000000" w:rsidDel="00000000" w:rsidP="00000000" w:rsidRDefault="00000000" w:rsidRPr="00000000" w14:paraId="000000BF">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Integrazione delle Linee Guida per lo svolgimento delle attività di controllo e rendicontazione delle Misure PNRR di competenza delle Amministrazioni centrali e dei Soggetti Attuatori - Rilascio in esercizio sul sistema informativo ReGiS delle Attestazioni dei controlli svolti su procedure e spese e del collegamento alla banca dati ORBIS nonché alle piattaforme antifrode ARACHNE e PIAF-IT.</w:t>
            </w:r>
          </w:p>
        </w:tc>
        <w:tc>
          <w:tcPr/>
          <w:p w:rsidR="00000000" w:rsidDel="00000000" w:rsidP="00000000" w:rsidRDefault="00000000" w:rsidRPr="00000000" w14:paraId="000000C0">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La Circolare fornisce alle Amministrazioni titolari di misure PNRR ed ai Soggetti attuatori, elementi ulteriori ed integrativi, rispetto a quelli contenuti nelle Linee Guida edite ad agosto 2022, concernenti le regole procedurali di a) elaborazione sul sistema REGIS delle “Attestazioni delle verifiche effettuate sulle procedure di selezione dei progetti e/o dei Soggetti Attuatori” e delle “Attestazioni delle verifiche effettuate sulle procedure di gara”; b) utilizzo, nell’ambito delle attività di controllo di rispettiva competenza, della banca dati ORBIS e delle piattaforme antifrode Arachne e PIAF-IT</w:t>
            </w:r>
            <w:r w:rsidDel="00000000" w:rsidR="00000000" w:rsidRPr="00000000">
              <w:rPr>
                <w:rtl w:val="0"/>
              </w:rPr>
            </w:r>
          </w:p>
        </w:tc>
        <w:tc>
          <w:tcPr/>
          <w:p w:rsidR="00000000" w:rsidDel="00000000" w:rsidP="00000000" w:rsidRDefault="00000000" w:rsidRPr="00000000" w14:paraId="000000C1">
            <w:pPr>
              <w:spacing w:before="240" w:lineRule="auto"/>
              <w:rPr>
                <w:rFonts w:ascii="Arial" w:cs="Arial" w:eastAsia="Arial" w:hAnsi="Arial"/>
                <w:color w:val="374151"/>
                <w:sz w:val="21"/>
                <w:szCs w:val="21"/>
              </w:rPr>
            </w:pPr>
            <w:r w:rsidDel="00000000" w:rsidR="00000000" w:rsidRPr="00000000">
              <w:rPr>
                <w:rtl w:val="0"/>
              </w:rPr>
              <w:t xml:space="preserve">Circolare n. 30 dell'11 agosto 2022</w:t>
            </w:r>
            <w:r w:rsidDel="00000000" w:rsidR="00000000" w:rsidRPr="00000000">
              <w:rPr>
                <w:rtl w:val="0"/>
              </w:rPr>
            </w:r>
          </w:p>
        </w:tc>
        <w:tc>
          <w:tcPr/>
          <w:p w:rsidR="00000000" w:rsidDel="00000000" w:rsidP="00000000" w:rsidRDefault="00000000" w:rsidRPr="00000000" w14:paraId="000000C2">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r>
      <w:tr>
        <w:trPr>
          <w:cantSplit w:val="0"/>
          <w:tblHeader w:val="0"/>
        </w:trPr>
        <w:tc>
          <w:tcPr/>
          <w:p w:rsidR="00000000" w:rsidDel="00000000" w:rsidP="00000000" w:rsidRDefault="00000000" w:rsidRPr="00000000" w14:paraId="000000C3">
            <w:pPr>
              <w:spacing w:before="240" w:lineRule="auto"/>
              <w:rPr>
                <w:rFonts w:ascii="Times New Roman" w:cs="Times New Roman" w:eastAsia="Times New Roman" w:hAnsi="Times New Roman"/>
              </w:rPr>
            </w:pPr>
            <w:r w:rsidDel="00000000" w:rsidR="00000000" w:rsidRPr="00000000">
              <w:rPr>
                <w:rFonts w:ascii="Arial" w:cs="Arial" w:eastAsia="Arial" w:hAnsi="Arial"/>
                <w:b w:val="1"/>
                <w:bCs w:val="1"/>
                <w:color w:val="374151"/>
                <w:sz w:val="21"/>
                <w:szCs w:val="21"/>
                <w:rtl w:val="0"/>
              </w:rPr>
              <w:t xml:space="preserve">2023</w:t>
            </w:r>
            <w:r w:rsidDel="00000000" w:rsidR="00000000" w:rsidRPr="00000000">
              <w:rPr>
                <w:rtl w:val="0"/>
              </w:rPr>
            </w:r>
          </w:p>
        </w:tc>
        <w:tc>
          <w:tcPr/>
          <w:p w:rsidR="00000000" w:rsidDel="00000000" w:rsidP="00000000" w:rsidRDefault="00000000" w:rsidRPr="00000000" w14:paraId="000000C4">
            <w:pPr>
              <w:spacing w:before="240" w:lineRule="auto"/>
              <w:rPr>
                <w:rFonts w:ascii="Times New Roman" w:cs="Times New Roman" w:eastAsia="Times New Roman" w:hAnsi="Times New Roman"/>
              </w:rPr>
            </w:pPr>
            <w:hyperlink r:id="rId29">
              <w:r w:rsidDel="00000000" w:rsidR="00000000" w:rsidRPr="00000000">
                <w:rPr>
                  <w:rFonts w:ascii="Arial" w:cs="Arial" w:eastAsia="Arial" w:hAnsi="Arial"/>
                  <w:color w:val="0563c1"/>
                  <w:sz w:val="21"/>
                  <w:szCs w:val="21"/>
                  <w:u w:val="single"/>
                  <w:rtl w:val="0"/>
                </w:rPr>
                <w:t xml:space="preserve">22 marzo 2023, n. 11</w:t>
              </w:r>
            </w:hyperlink>
            <w:r w:rsidDel="00000000" w:rsidR="00000000" w:rsidRPr="00000000">
              <w:rPr>
                <w:rtl w:val="0"/>
              </w:rPr>
            </w:r>
          </w:p>
        </w:tc>
        <w:tc>
          <w:tcPr/>
          <w:p w:rsidR="00000000" w:rsidDel="00000000" w:rsidP="00000000" w:rsidRDefault="00000000" w:rsidRPr="00000000" w14:paraId="000000C5">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Registro Integrato dei Controlli PNRR - Sezione controlli milestone e target.</w:t>
            </w:r>
          </w:p>
        </w:tc>
        <w:tc>
          <w:tcPr/>
          <w:p w:rsidR="00000000" w:rsidDel="00000000" w:rsidP="00000000" w:rsidRDefault="00000000" w:rsidRPr="00000000" w14:paraId="000000C6">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Con Circolari n. 30 dell’11 agosto 2022 e n. 41 del 7 dicembre 2022 sono stati adottati i format di alcuni atti rendicontativi da utilizzare in occasione della consuntivazione di milestone/target PNRR, per la conseguente presentazione delle richieste semestrali di pagamento alla CE. Vi sono, tra questi, le “Check-list per la verifica di milestone e target dell’Amministrazione titolare di misure PNRR” il cui esito positivo è propedeutico alla formalizzazione della “Dichiarazione di Gestione dell’Amministrazione titolare di misure PNRR”. Al fine di consentire il puntualmente tracciamento dei controlli effettuati sul conseguimento di milestone e target (controlli sulla performance) è stato predisposto il “Registro Integrato dei Controlli PNRR - Sezione controlli milestone e target” e le “Linee guida per l’utilizzo da parte delle Amministrazioni titolari di Misure PNRR del Registro Integrato dei Controlli PNRR - Sezione controlli milestone e target”</w:t>
            </w:r>
            <w:r w:rsidDel="00000000" w:rsidR="00000000" w:rsidRPr="00000000">
              <w:rPr>
                <w:rtl w:val="0"/>
              </w:rPr>
            </w:r>
          </w:p>
        </w:tc>
        <w:tc>
          <w:tcPr/>
          <w:p w:rsidR="00000000" w:rsidDel="00000000" w:rsidP="00000000" w:rsidRDefault="00000000" w:rsidRPr="00000000" w14:paraId="000000C7">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c>
          <w:tcPr/>
          <w:p w:rsidR="00000000" w:rsidDel="00000000" w:rsidP="00000000" w:rsidRDefault="00000000" w:rsidRPr="00000000" w14:paraId="000000C8">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r>
      <w:tr>
        <w:trPr>
          <w:cantSplit w:val="0"/>
          <w:tblHeader w:val="0"/>
        </w:trPr>
        <w:tc>
          <w:tcPr/>
          <w:p w:rsidR="00000000" w:rsidDel="00000000" w:rsidP="00000000" w:rsidRDefault="00000000" w:rsidRPr="00000000" w14:paraId="000000C9">
            <w:pPr>
              <w:spacing w:before="240" w:lineRule="auto"/>
              <w:rPr>
                <w:rFonts w:ascii="Times New Roman" w:cs="Times New Roman" w:eastAsia="Times New Roman" w:hAnsi="Times New Roman"/>
              </w:rPr>
            </w:pPr>
            <w:r w:rsidDel="00000000" w:rsidR="00000000" w:rsidRPr="00000000">
              <w:rPr>
                <w:rFonts w:ascii="Arial" w:cs="Arial" w:eastAsia="Arial" w:hAnsi="Arial"/>
                <w:b w:val="1"/>
                <w:bCs w:val="1"/>
                <w:color w:val="374151"/>
                <w:sz w:val="21"/>
                <w:szCs w:val="21"/>
                <w:rtl w:val="0"/>
              </w:rPr>
              <w:t xml:space="preserve">2023</w:t>
            </w:r>
            <w:r w:rsidDel="00000000" w:rsidR="00000000" w:rsidRPr="00000000">
              <w:rPr>
                <w:rtl w:val="0"/>
              </w:rPr>
            </w:r>
          </w:p>
        </w:tc>
        <w:tc>
          <w:tcPr/>
          <w:p w:rsidR="00000000" w:rsidDel="00000000" w:rsidP="00000000" w:rsidRDefault="00000000" w:rsidRPr="00000000" w14:paraId="000000CA">
            <w:pPr>
              <w:spacing w:before="240" w:lineRule="auto"/>
              <w:rPr>
                <w:rFonts w:ascii="Times New Roman" w:cs="Times New Roman" w:eastAsia="Times New Roman" w:hAnsi="Times New Roman"/>
              </w:rPr>
            </w:pPr>
            <w:hyperlink r:id="rId30">
              <w:r w:rsidDel="00000000" w:rsidR="00000000" w:rsidRPr="00000000">
                <w:rPr>
                  <w:rFonts w:ascii="Arial" w:cs="Arial" w:eastAsia="Arial" w:hAnsi="Arial"/>
                  <w:color w:val="0563c1"/>
                  <w:sz w:val="21"/>
                  <w:szCs w:val="21"/>
                  <w:u w:val="single"/>
                  <w:rtl w:val="0"/>
                </w:rPr>
                <w:t xml:space="preserve">13 marzo 2023, n. 10</w:t>
              </w:r>
            </w:hyperlink>
            <w:r w:rsidDel="00000000" w:rsidR="00000000" w:rsidRPr="00000000">
              <w:rPr>
                <w:rtl w:val="0"/>
              </w:rPr>
            </w:r>
          </w:p>
        </w:tc>
        <w:tc>
          <w:tcPr/>
          <w:p w:rsidR="00000000" w:rsidDel="00000000" w:rsidP="00000000" w:rsidRDefault="00000000" w:rsidRPr="00000000" w14:paraId="000000CB">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Interventi PNRR. Ulteriori indicazioni operative per il controllo preventivo e il controllo dei rendiconti delle Contabilità Speciali PNRR aperte presso la Tesoreria dello Stato.</w:t>
            </w:r>
          </w:p>
        </w:tc>
        <w:tc>
          <w:tcPr/>
          <w:p w:rsidR="00000000" w:rsidDel="00000000" w:rsidP="00000000" w:rsidRDefault="00000000" w:rsidRPr="00000000" w14:paraId="000000CC">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Con la presente circolare si forniscono ulteriori indicazioni operative in materia di controllo di regolarità amministrativa e contabile per gli interventi da realizzare nell'ambito del Piano Nazionale di Ripresa e Resilienza, fermo restando quanto già indicato nelle circolari MEF-RGS n. 28 del 4 luglio 2022 e n. 1 del 2 gennaio 2023.</w:t>
            </w:r>
            <w:r w:rsidDel="00000000" w:rsidR="00000000" w:rsidRPr="00000000">
              <w:rPr>
                <w:rtl w:val="0"/>
              </w:rPr>
            </w:r>
          </w:p>
        </w:tc>
        <w:tc>
          <w:tcPr/>
          <w:p w:rsidR="00000000" w:rsidDel="00000000" w:rsidP="00000000" w:rsidRDefault="00000000" w:rsidRPr="00000000" w14:paraId="000000CD">
            <w:pPr>
              <w:spacing w:before="240" w:lineRule="auto"/>
              <w:rPr>
                <w:rFonts w:ascii="Arial" w:cs="Arial" w:eastAsia="Arial" w:hAnsi="Arial"/>
                <w:color w:val="374151"/>
                <w:sz w:val="21"/>
                <w:szCs w:val="21"/>
              </w:rPr>
            </w:pPr>
            <w:r w:rsidDel="00000000" w:rsidR="00000000" w:rsidRPr="00000000">
              <w:rPr>
                <w:rtl w:val="0"/>
              </w:rPr>
              <w:t xml:space="preserve">Circolare n. 28 del 4 luglio 2022 e Circolare n. 1 del 2 gennaio 2023</w:t>
            </w:r>
            <w:r w:rsidDel="00000000" w:rsidR="00000000" w:rsidRPr="00000000">
              <w:rPr>
                <w:rtl w:val="0"/>
              </w:rPr>
            </w:r>
          </w:p>
        </w:tc>
        <w:tc>
          <w:tcPr/>
          <w:p w:rsidR="00000000" w:rsidDel="00000000" w:rsidP="00000000" w:rsidRDefault="00000000" w:rsidRPr="00000000" w14:paraId="000000CE">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r>
      <w:tr>
        <w:trPr>
          <w:cantSplit w:val="0"/>
          <w:tblHeader w:val="0"/>
        </w:trPr>
        <w:tc>
          <w:tcPr/>
          <w:p w:rsidR="00000000" w:rsidDel="00000000" w:rsidP="00000000" w:rsidRDefault="00000000" w:rsidRPr="00000000" w14:paraId="000000CF">
            <w:pPr>
              <w:spacing w:before="240" w:lineRule="auto"/>
              <w:rPr>
                <w:rFonts w:ascii="Times New Roman" w:cs="Times New Roman" w:eastAsia="Times New Roman" w:hAnsi="Times New Roman"/>
              </w:rPr>
            </w:pPr>
            <w:r w:rsidDel="00000000" w:rsidR="00000000" w:rsidRPr="00000000">
              <w:rPr>
                <w:rFonts w:ascii="Arial" w:cs="Arial" w:eastAsia="Arial" w:hAnsi="Arial"/>
                <w:b w:val="1"/>
                <w:bCs w:val="1"/>
                <w:color w:val="374151"/>
                <w:sz w:val="21"/>
                <w:szCs w:val="21"/>
                <w:rtl w:val="0"/>
              </w:rPr>
              <w:t xml:space="preserve">2023</w:t>
            </w:r>
            <w:r w:rsidDel="00000000" w:rsidR="00000000" w:rsidRPr="00000000">
              <w:rPr>
                <w:rtl w:val="0"/>
              </w:rPr>
            </w:r>
          </w:p>
        </w:tc>
        <w:tc>
          <w:tcPr/>
          <w:p w:rsidR="00000000" w:rsidDel="00000000" w:rsidP="00000000" w:rsidRDefault="00000000" w:rsidRPr="00000000" w14:paraId="000000D0">
            <w:pPr>
              <w:spacing w:before="240" w:lineRule="auto"/>
              <w:rPr>
                <w:rFonts w:ascii="Times New Roman" w:cs="Times New Roman" w:eastAsia="Times New Roman" w:hAnsi="Times New Roman"/>
              </w:rPr>
            </w:pPr>
            <w:hyperlink r:id="rId31">
              <w:r w:rsidDel="00000000" w:rsidR="00000000" w:rsidRPr="00000000">
                <w:rPr>
                  <w:rFonts w:ascii="Arial" w:cs="Arial" w:eastAsia="Arial" w:hAnsi="Arial"/>
                  <w:color w:val="0563c1"/>
                  <w:sz w:val="21"/>
                  <w:szCs w:val="21"/>
                  <w:u w:val="single"/>
                  <w:rtl w:val="0"/>
                </w:rPr>
                <w:t xml:space="preserve">2 gennaio 2023, n. 1</w:t>
              </w:r>
            </w:hyperlink>
            <w:r w:rsidDel="00000000" w:rsidR="00000000" w:rsidRPr="00000000">
              <w:rPr>
                <w:rtl w:val="0"/>
              </w:rPr>
            </w:r>
          </w:p>
        </w:tc>
        <w:tc>
          <w:tcPr/>
          <w:p w:rsidR="00000000" w:rsidDel="00000000" w:rsidP="00000000" w:rsidRDefault="00000000" w:rsidRPr="00000000" w14:paraId="000000D1">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Controllo preventivo di regolarità amministrativa e contabile di cui al decreto legislativo 30 giugno 2011, n. 123. Precisazioni relative anche al controllo degli atti di gestione delle risorse del Piano Nazionale di Ripresa e Resilienza.</w:t>
            </w:r>
          </w:p>
        </w:tc>
        <w:tc>
          <w:tcPr/>
          <w:p w:rsidR="00000000" w:rsidDel="00000000" w:rsidP="00000000" w:rsidRDefault="00000000" w:rsidRPr="00000000" w14:paraId="000000D2">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La circolare fornisce ulteriori chiarimenti in merito al controllo di regolarità amministrativa e contabile espletato dagli uffici del sistema delle ragionerie sugli atti adottati dalle amministrazioni dello Stato, ad integrazione delle indicazioni già emanate con le precedenti circolari RGS n. 25 del 7 settembre 2011, n. 8 del 10 febbraio 2017 e n. 28 del 4 luglio 2022, con particolare riferimento agli atti soggetti al controllo preventivo di legittimità della Corte dei conti ai sensi dell’articolo 3 della legge 14 gennaio 1994, n. 20, ai decreti interministeriali e/o interdirettoriali e agli atti di gestione delle risorse del Piano Nazionale di Ripresa e Resilienza (PNRR).</w:t>
            </w:r>
            <w:r w:rsidDel="00000000" w:rsidR="00000000" w:rsidRPr="00000000">
              <w:rPr>
                <w:rtl w:val="0"/>
              </w:rPr>
            </w:r>
          </w:p>
        </w:tc>
        <w:tc>
          <w:tcPr/>
          <w:p w:rsidR="00000000" w:rsidDel="00000000" w:rsidP="00000000" w:rsidRDefault="00000000" w:rsidRPr="00000000" w14:paraId="000000D3">
            <w:pPr>
              <w:spacing w:before="240" w:lineRule="auto"/>
              <w:rPr>
                <w:rFonts w:ascii="Arial" w:cs="Arial" w:eastAsia="Arial" w:hAnsi="Arial"/>
                <w:color w:val="374151"/>
                <w:sz w:val="21"/>
                <w:szCs w:val="21"/>
              </w:rPr>
            </w:pPr>
            <w:r w:rsidDel="00000000" w:rsidR="00000000" w:rsidRPr="00000000">
              <w:rPr>
                <w:rtl w:val="0"/>
              </w:rPr>
              <w:t xml:space="preserve">Circolare n. 28 del 4 luglio 2022</w:t>
            </w:r>
            <w:r w:rsidDel="00000000" w:rsidR="00000000" w:rsidRPr="00000000">
              <w:rPr>
                <w:rtl w:val="0"/>
              </w:rPr>
            </w:r>
          </w:p>
        </w:tc>
        <w:tc>
          <w:tcPr/>
          <w:p w:rsidR="00000000" w:rsidDel="00000000" w:rsidP="00000000" w:rsidRDefault="00000000" w:rsidRPr="00000000" w14:paraId="000000D4">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r>
      <w:tr>
        <w:trPr>
          <w:cantSplit w:val="0"/>
          <w:tblHeader w:val="0"/>
        </w:trPr>
        <w:tc>
          <w:tcPr/>
          <w:p w:rsidR="00000000" w:rsidDel="00000000" w:rsidP="00000000" w:rsidRDefault="00000000" w:rsidRPr="00000000" w14:paraId="000000D5">
            <w:pPr>
              <w:spacing w:before="240" w:lineRule="auto"/>
              <w:rPr>
                <w:rFonts w:ascii="Times New Roman" w:cs="Times New Roman" w:eastAsia="Times New Roman" w:hAnsi="Times New Roman"/>
              </w:rPr>
            </w:pPr>
            <w:r w:rsidDel="00000000" w:rsidR="00000000" w:rsidRPr="00000000">
              <w:rPr>
                <w:rFonts w:ascii="Arial" w:cs="Arial" w:eastAsia="Arial" w:hAnsi="Arial"/>
                <w:b w:val="1"/>
                <w:bCs w:val="1"/>
                <w:color w:val="374151"/>
                <w:sz w:val="21"/>
                <w:szCs w:val="21"/>
                <w:rtl w:val="0"/>
              </w:rPr>
              <w:t xml:space="preserve">2022</w:t>
            </w:r>
            <w:r w:rsidDel="00000000" w:rsidR="00000000" w:rsidRPr="00000000">
              <w:rPr>
                <w:rtl w:val="0"/>
              </w:rPr>
            </w:r>
          </w:p>
        </w:tc>
        <w:tc>
          <w:tcPr/>
          <w:p w:rsidR="00000000" w:rsidDel="00000000" w:rsidP="00000000" w:rsidRDefault="00000000" w:rsidRPr="00000000" w14:paraId="000000D6">
            <w:pPr>
              <w:spacing w:before="240" w:lineRule="auto"/>
              <w:rPr>
                <w:rFonts w:ascii="Times New Roman" w:cs="Times New Roman" w:eastAsia="Times New Roman" w:hAnsi="Times New Roman"/>
              </w:rPr>
            </w:pPr>
            <w:hyperlink r:id="rId32">
              <w:r w:rsidDel="00000000" w:rsidR="00000000" w:rsidRPr="00000000">
                <w:rPr>
                  <w:rFonts w:ascii="Arial" w:cs="Arial" w:eastAsia="Arial" w:hAnsi="Arial"/>
                  <w:color w:val="0563c1"/>
                  <w:sz w:val="21"/>
                  <w:szCs w:val="21"/>
                  <w:u w:val="single"/>
                  <w:rtl w:val="0"/>
                </w:rPr>
                <w:t xml:space="preserve">14 dicembre 2022, n. 43</w:t>
              </w:r>
            </w:hyperlink>
            <w:r w:rsidDel="00000000" w:rsidR="00000000" w:rsidRPr="00000000">
              <w:rPr>
                <w:rtl w:val="0"/>
              </w:rPr>
            </w:r>
          </w:p>
        </w:tc>
        <w:tc>
          <w:tcPr/>
          <w:p w:rsidR="00000000" w:rsidDel="00000000" w:rsidP="00000000" w:rsidRDefault="00000000" w:rsidRPr="00000000" w14:paraId="000000D7">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Interventi PNRR gestiti sul modulo finanziario del sistema ReGiS. Operazioni contabili esercizio finanziario 2022.</w:t>
            </w:r>
          </w:p>
        </w:tc>
        <w:tc>
          <w:tcPr/>
          <w:p w:rsidR="00000000" w:rsidDel="00000000" w:rsidP="00000000" w:rsidRDefault="00000000" w:rsidRPr="00000000" w14:paraId="000000D8">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Con la presente circolare si fornisce alle Amministrazioni che nell’ambito degli interventi del PNRR utilizzano il sistema informativo ReGis - modulo finanziario, i termini per emettere gli OPF al fine di assicurare la corretta gestione delle operazioni contabili di fine esercizio, visto l’approssimarsi della chiusura dell’esercizio finanziario 2022.</w:t>
            </w:r>
            <w:r w:rsidDel="00000000" w:rsidR="00000000" w:rsidRPr="00000000">
              <w:rPr>
                <w:rtl w:val="0"/>
              </w:rPr>
            </w:r>
          </w:p>
        </w:tc>
        <w:tc>
          <w:tcPr/>
          <w:p w:rsidR="00000000" w:rsidDel="00000000" w:rsidP="00000000" w:rsidRDefault="00000000" w:rsidRPr="00000000" w14:paraId="000000D9">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c>
          <w:tcPr/>
          <w:p w:rsidR="00000000" w:rsidDel="00000000" w:rsidP="00000000" w:rsidRDefault="00000000" w:rsidRPr="00000000" w14:paraId="000000DA">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r>
      <w:tr>
        <w:trPr>
          <w:cantSplit w:val="0"/>
          <w:tblHeader w:val="0"/>
        </w:trPr>
        <w:tc>
          <w:tcPr/>
          <w:p w:rsidR="00000000" w:rsidDel="00000000" w:rsidP="00000000" w:rsidRDefault="00000000" w:rsidRPr="00000000" w14:paraId="000000DB">
            <w:pPr>
              <w:spacing w:before="240" w:lineRule="auto"/>
              <w:rPr>
                <w:rFonts w:ascii="Times New Roman" w:cs="Times New Roman" w:eastAsia="Times New Roman" w:hAnsi="Times New Roman"/>
              </w:rPr>
            </w:pPr>
            <w:r w:rsidDel="00000000" w:rsidR="00000000" w:rsidRPr="00000000">
              <w:rPr>
                <w:rFonts w:ascii="Arial" w:cs="Arial" w:eastAsia="Arial" w:hAnsi="Arial"/>
                <w:b w:val="1"/>
                <w:bCs w:val="1"/>
                <w:color w:val="374151"/>
                <w:sz w:val="21"/>
                <w:szCs w:val="21"/>
                <w:rtl w:val="0"/>
              </w:rPr>
              <w:t xml:space="preserve">2022</w:t>
            </w:r>
            <w:r w:rsidDel="00000000" w:rsidR="00000000" w:rsidRPr="00000000">
              <w:rPr>
                <w:rtl w:val="0"/>
              </w:rPr>
            </w:r>
          </w:p>
        </w:tc>
        <w:tc>
          <w:tcPr/>
          <w:p w:rsidR="00000000" w:rsidDel="00000000" w:rsidP="00000000" w:rsidRDefault="00000000" w:rsidRPr="00000000" w14:paraId="000000DC">
            <w:pPr>
              <w:spacing w:before="240" w:lineRule="auto"/>
              <w:rPr>
                <w:rFonts w:ascii="Times New Roman" w:cs="Times New Roman" w:eastAsia="Times New Roman" w:hAnsi="Times New Roman"/>
              </w:rPr>
            </w:pPr>
            <w:hyperlink r:id="rId33">
              <w:r w:rsidDel="00000000" w:rsidR="00000000" w:rsidRPr="00000000">
                <w:rPr>
                  <w:rFonts w:ascii="Arial" w:cs="Arial" w:eastAsia="Arial" w:hAnsi="Arial"/>
                  <w:color w:val="0563c1"/>
                  <w:sz w:val="21"/>
                  <w:szCs w:val="21"/>
                  <w:u w:val="single"/>
                  <w:rtl w:val="0"/>
                </w:rPr>
                <w:t xml:space="preserve">7 dicembre 2022, n. 41</w:t>
              </w:r>
            </w:hyperlink>
            <w:r w:rsidDel="00000000" w:rsidR="00000000" w:rsidRPr="00000000">
              <w:rPr>
                <w:rtl w:val="0"/>
              </w:rPr>
            </w:r>
          </w:p>
        </w:tc>
        <w:tc>
          <w:tcPr/>
          <w:p w:rsidR="00000000" w:rsidDel="00000000" w:rsidP="00000000" w:rsidRDefault="00000000" w:rsidRPr="00000000" w14:paraId="000000DD">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PNRR - Rendicontazione milestone/target connessi alla terza “Richiesta di pagamento” alla C.E.</w:t>
            </w:r>
          </w:p>
        </w:tc>
        <w:tc>
          <w:tcPr/>
          <w:p w:rsidR="00000000" w:rsidDel="00000000" w:rsidP="00000000" w:rsidRDefault="00000000" w:rsidRPr="00000000" w14:paraId="000000DE">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Le attività di rendicontazione su “ReGiS”, connesse ai 55 milestone/target con scadenza a T3 e T4 2022, dovranno essere concluse entro e non oltre il 23 dicembre p.v.</w:t>
            </w:r>
            <w:r w:rsidDel="00000000" w:rsidR="00000000" w:rsidRPr="00000000">
              <w:rPr>
                <w:rtl w:val="0"/>
              </w:rPr>
            </w:r>
          </w:p>
          <w:p w:rsidR="00000000" w:rsidDel="00000000" w:rsidP="00000000" w:rsidRDefault="00000000" w:rsidRPr="00000000" w14:paraId="000000DF">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Le Amministrazioni attraverso la funzionalità “Avanzamento M&amp;T” di “ReGiS”, dovranno provvedere, in ragione di ogni singolo milestone/target di rispettiva competenza, al caricamento all’interno della sezione "Documenti rendicontativi" del Report di avanzamento M&amp;T, della documentazione a comprova del conseguimento (evidence), della Check-list di verifica ed infine della Dichiarazione di gestione.</w:t>
            </w:r>
            <w:r w:rsidDel="00000000" w:rsidR="00000000" w:rsidRPr="00000000">
              <w:rPr>
                <w:rtl w:val="0"/>
              </w:rPr>
            </w:r>
          </w:p>
          <w:p w:rsidR="00000000" w:rsidDel="00000000" w:rsidP="00000000" w:rsidRDefault="00000000" w:rsidRPr="00000000" w14:paraId="000000E0">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Infine attraverso la funzionalità “Consuntivazione M&amp;T” di “ReGiS” occorrerà, per ciascun milestone/target, confermare il contenuto delle informazioni e della suddetta documentazione.</w:t>
            </w:r>
            <w:r w:rsidDel="00000000" w:rsidR="00000000" w:rsidRPr="00000000">
              <w:rPr>
                <w:rtl w:val="0"/>
              </w:rPr>
            </w:r>
          </w:p>
        </w:tc>
        <w:tc>
          <w:tcPr/>
          <w:p w:rsidR="00000000" w:rsidDel="00000000" w:rsidP="00000000" w:rsidRDefault="00000000" w:rsidRPr="00000000" w14:paraId="000000E1">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c>
          <w:tcPr/>
          <w:p w:rsidR="00000000" w:rsidDel="00000000" w:rsidP="00000000" w:rsidRDefault="00000000" w:rsidRPr="00000000" w14:paraId="000000E2">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r>
      <w:tr>
        <w:trPr>
          <w:cantSplit w:val="0"/>
          <w:tblHeader w:val="0"/>
        </w:trPr>
        <w:tc>
          <w:tcPr/>
          <w:p w:rsidR="00000000" w:rsidDel="00000000" w:rsidP="00000000" w:rsidRDefault="00000000" w:rsidRPr="00000000" w14:paraId="000000E3">
            <w:pPr>
              <w:spacing w:before="240" w:lineRule="auto"/>
              <w:rPr>
                <w:rFonts w:ascii="Times New Roman" w:cs="Times New Roman" w:eastAsia="Times New Roman" w:hAnsi="Times New Roman"/>
              </w:rPr>
            </w:pPr>
            <w:r w:rsidDel="00000000" w:rsidR="00000000" w:rsidRPr="00000000">
              <w:rPr>
                <w:rFonts w:ascii="Arial" w:cs="Arial" w:eastAsia="Arial" w:hAnsi="Arial"/>
                <w:b w:val="1"/>
                <w:bCs w:val="1"/>
                <w:color w:val="374151"/>
                <w:sz w:val="21"/>
                <w:szCs w:val="21"/>
                <w:rtl w:val="0"/>
              </w:rPr>
              <w:t xml:space="preserve">2022</w:t>
            </w:r>
            <w:r w:rsidDel="00000000" w:rsidR="00000000" w:rsidRPr="00000000">
              <w:rPr>
                <w:rtl w:val="0"/>
              </w:rPr>
            </w:r>
          </w:p>
        </w:tc>
        <w:tc>
          <w:tcPr/>
          <w:p w:rsidR="00000000" w:rsidDel="00000000" w:rsidP="00000000" w:rsidRDefault="00000000" w:rsidRPr="00000000" w14:paraId="000000E4">
            <w:pPr>
              <w:spacing w:before="240" w:lineRule="auto"/>
              <w:rPr>
                <w:rFonts w:ascii="Times New Roman" w:cs="Times New Roman" w:eastAsia="Times New Roman" w:hAnsi="Times New Roman"/>
              </w:rPr>
            </w:pPr>
            <w:hyperlink r:id="rId34">
              <w:r w:rsidDel="00000000" w:rsidR="00000000" w:rsidRPr="00000000">
                <w:rPr>
                  <w:rFonts w:ascii="Arial" w:cs="Arial" w:eastAsia="Arial" w:hAnsi="Arial"/>
                  <w:color w:val="0563c1"/>
                  <w:sz w:val="21"/>
                  <w:szCs w:val="21"/>
                  <w:u w:val="single"/>
                  <w:rtl w:val="0"/>
                </w:rPr>
                <w:t xml:space="preserve">5 dicembre 2022, n. 40</w:t>
              </w:r>
            </w:hyperlink>
            <w:r w:rsidDel="00000000" w:rsidR="00000000" w:rsidRPr="00000000">
              <w:rPr>
                <w:rtl w:val="0"/>
              </w:rPr>
            </w:r>
          </w:p>
        </w:tc>
        <w:tc>
          <w:tcPr/>
          <w:p w:rsidR="00000000" w:rsidDel="00000000" w:rsidP="00000000" w:rsidRDefault="00000000" w:rsidRPr="00000000" w14:paraId="000000E5">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PNC - Piano nazionale per gli investimenti complementari al Piano nazionale di ripresa e resilienza (PNC): trasmissione istruzioni sulle modalità di monitoraggio degli interventi.</w:t>
            </w:r>
          </w:p>
        </w:tc>
        <w:tc>
          <w:tcPr/>
          <w:p w:rsidR="00000000" w:rsidDel="00000000" w:rsidP="00000000" w:rsidRDefault="00000000" w:rsidRPr="00000000" w14:paraId="000000E6">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La circolare, congiuntamente alle Linee Guida in allegato, fornisce alle Amministrazioni centrali titolari di programmi e interventi del Piano, nonché responsabili del monitoraggio degli interventi e dei programmi e della verifica dell’alimentazione del sistema di monitoraggio di cui al d.lgs. 229/2011 (BDAP/MOP), indicazioni specifiche per adempiere al meglio a questo ruolo nel rapporto con i soggetti attuatori, ovvero i titolari degli interventi. La piena attuazione di quanto riportato in questo documento è quindi condizione imprescindibile per il corretto monitoraggio degli investimenti ricompresi nel PNC.</w:t>
            </w:r>
            <w:r w:rsidDel="00000000" w:rsidR="00000000" w:rsidRPr="00000000">
              <w:rPr>
                <w:rtl w:val="0"/>
              </w:rPr>
            </w:r>
          </w:p>
        </w:tc>
        <w:tc>
          <w:tcPr/>
          <w:p w:rsidR="00000000" w:rsidDel="00000000" w:rsidP="00000000" w:rsidRDefault="00000000" w:rsidRPr="00000000" w14:paraId="000000E7">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c>
          <w:tcPr/>
          <w:p w:rsidR="00000000" w:rsidDel="00000000" w:rsidP="00000000" w:rsidRDefault="00000000" w:rsidRPr="00000000" w14:paraId="000000E8">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r>
      <w:tr>
        <w:trPr>
          <w:cantSplit w:val="0"/>
          <w:tblHeader w:val="0"/>
        </w:trPr>
        <w:tc>
          <w:tcPr/>
          <w:p w:rsidR="00000000" w:rsidDel="00000000" w:rsidP="00000000" w:rsidRDefault="00000000" w:rsidRPr="00000000" w14:paraId="000000E9">
            <w:pPr>
              <w:spacing w:before="240" w:lineRule="auto"/>
              <w:rPr>
                <w:rFonts w:ascii="Times New Roman" w:cs="Times New Roman" w:eastAsia="Times New Roman" w:hAnsi="Times New Roman"/>
              </w:rPr>
            </w:pPr>
            <w:r w:rsidDel="00000000" w:rsidR="00000000" w:rsidRPr="00000000">
              <w:rPr>
                <w:rFonts w:ascii="Arial" w:cs="Arial" w:eastAsia="Arial" w:hAnsi="Arial"/>
                <w:b w:val="1"/>
                <w:bCs w:val="1"/>
                <w:color w:val="374151"/>
                <w:sz w:val="21"/>
                <w:szCs w:val="21"/>
                <w:rtl w:val="0"/>
              </w:rPr>
              <w:t xml:space="preserve">2022</w:t>
            </w:r>
            <w:r w:rsidDel="00000000" w:rsidR="00000000" w:rsidRPr="00000000">
              <w:rPr>
                <w:rtl w:val="0"/>
              </w:rPr>
            </w:r>
          </w:p>
        </w:tc>
        <w:tc>
          <w:tcPr/>
          <w:p w:rsidR="00000000" w:rsidDel="00000000" w:rsidP="00000000" w:rsidRDefault="00000000" w:rsidRPr="00000000" w14:paraId="000000EA">
            <w:pPr>
              <w:spacing w:before="240" w:lineRule="auto"/>
              <w:rPr>
                <w:rFonts w:ascii="Times New Roman" w:cs="Times New Roman" w:eastAsia="Times New Roman" w:hAnsi="Times New Roman"/>
              </w:rPr>
            </w:pPr>
            <w:hyperlink r:id="rId35">
              <w:r w:rsidDel="00000000" w:rsidR="00000000" w:rsidRPr="00000000">
                <w:rPr>
                  <w:rFonts w:ascii="Arial" w:cs="Arial" w:eastAsia="Arial" w:hAnsi="Arial"/>
                  <w:color w:val="0563c1"/>
                  <w:sz w:val="21"/>
                  <w:szCs w:val="21"/>
                  <w:u w:val="single"/>
                  <w:rtl w:val="0"/>
                </w:rPr>
                <w:t xml:space="preserve">9 novembre 2022, n. 37</w:t>
              </w:r>
            </w:hyperlink>
            <w:r w:rsidDel="00000000" w:rsidR="00000000" w:rsidRPr="00000000">
              <w:rPr>
                <w:rtl w:val="0"/>
              </w:rPr>
            </w:r>
          </w:p>
        </w:tc>
        <w:tc>
          <w:tcPr/>
          <w:p w:rsidR="00000000" w:rsidDel="00000000" w:rsidP="00000000" w:rsidRDefault="00000000" w:rsidRPr="00000000" w14:paraId="000000EB">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Procedura “semplificata” di cui all’articolo 7 del DPCM 28 luglio 2022 e articolo 29 del decreto-legge n. 144 del 2022: rimodulazioni e verifiche in itinere ed ex post.</w:t>
            </w:r>
          </w:p>
        </w:tc>
        <w:tc>
          <w:tcPr/>
          <w:p w:rsidR="00000000" w:rsidDel="00000000" w:rsidP="00000000" w:rsidRDefault="00000000" w:rsidRPr="00000000" w14:paraId="000000EC">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La circolare intende fornire alle amministrazioni destinatarie le necessarie indicazioni da seguire per la “procedura semplificata” di cui all’articolo 7 del DPCM 28 luglio 2022 che trova applicazione anche ai sensi dell’articolo 29 del decreto-legge n. 144 del 2022, in corso di conversione. In particolare, sono fornite indicazioni operative per:</w:t>
            </w:r>
            <w:r w:rsidDel="00000000" w:rsidR="00000000" w:rsidRPr="00000000">
              <w:rPr>
                <w:rtl w:val="0"/>
              </w:rPr>
            </w:r>
          </w:p>
          <w:p w:rsidR="00000000" w:rsidDel="00000000" w:rsidP="00000000" w:rsidRDefault="00000000" w:rsidRPr="00000000" w14:paraId="000000ED">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Rimodulazione risorse (comma 1, ultimo periodo);</w:t>
            </w:r>
            <w:r w:rsidDel="00000000" w:rsidR="00000000" w:rsidRPr="00000000">
              <w:rPr>
                <w:rtl w:val="0"/>
              </w:rPr>
            </w:r>
          </w:p>
          <w:p w:rsidR="00000000" w:rsidDel="00000000" w:rsidP="00000000" w:rsidRDefault="00000000" w:rsidRPr="00000000" w14:paraId="000000EE">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Assegnazione definitiva (comma 2);</w:t>
            </w:r>
            <w:r w:rsidDel="00000000" w:rsidR="00000000" w:rsidRPr="00000000">
              <w:rPr>
                <w:rtl w:val="0"/>
              </w:rPr>
            </w:r>
          </w:p>
          <w:p w:rsidR="00000000" w:rsidDel="00000000" w:rsidP="00000000" w:rsidRDefault="00000000" w:rsidRPr="00000000" w14:paraId="000000EF">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Annullamento preassegnazione (comma 3).</w:t>
            </w:r>
            <w:r w:rsidDel="00000000" w:rsidR="00000000" w:rsidRPr="00000000">
              <w:rPr>
                <w:rtl w:val="0"/>
              </w:rPr>
            </w:r>
          </w:p>
          <w:p w:rsidR="00000000" w:rsidDel="00000000" w:rsidP="00000000" w:rsidRDefault="00000000" w:rsidRPr="00000000" w14:paraId="000000F0">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Alla circolare, che indica schematicamente le diverse fasi della procedura attraverso il sistema informativo ReGis, sono allegati i modelli da utilizzare per le richieste di rimodulazioni.</w:t>
            </w:r>
            <w:r w:rsidDel="00000000" w:rsidR="00000000" w:rsidRPr="00000000">
              <w:rPr>
                <w:rtl w:val="0"/>
              </w:rPr>
            </w:r>
          </w:p>
        </w:tc>
        <w:tc>
          <w:tcPr/>
          <w:p w:rsidR="00000000" w:rsidDel="00000000" w:rsidP="00000000" w:rsidRDefault="00000000" w:rsidRPr="00000000" w14:paraId="000000F1">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c>
          <w:tcPr/>
          <w:p w:rsidR="00000000" w:rsidDel="00000000" w:rsidP="00000000" w:rsidRDefault="00000000" w:rsidRPr="00000000" w14:paraId="000000F2">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r>
      <w:tr>
        <w:trPr>
          <w:cantSplit w:val="0"/>
          <w:tblHeader w:val="0"/>
        </w:trPr>
        <w:tc>
          <w:tcPr/>
          <w:p w:rsidR="00000000" w:rsidDel="00000000" w:rsidP="00000000" w:rsidRDefault="00000000" w:rsidRPr="00000000" w14:paraId="000000F3">
            <w:pPr>
              <w:spacing w:before="240" w:lineRule="auto"/>
              <w:rPr>
                <w:rFonts w:ascii="Times New Roman" w:cs="Times New Roman" w:eastAsia="Times New Roman" w:hAnsi="Times New Roman"/>
              </w:rPr>
            </w:pPr>
            <w:r w:rsidDel="00000000" w:rsidR="00000000" w:rsidRPr="00000000">
              <w:rPr>
                <w:rFonts w:ascii="Arial" w:cs="Arial" w:eastAsia="Arial" w:hAnsi="Arial"/>
                <w:b w:val="1"/>
                <w:bCs w:val="1"/>
                <w:color w:val="374151"/>
                <w:sz w:val="21"/>
                <w:szCs w:val="21"/>
                <w:rtl w:val="0"/>
              </w:rPr>
              <w:t xml:space="preserve">2022</w:t>
            </w:r>
            <w:r w:rsidDel="00000000" w:rsidR="00000000" w:rsidRPr="00000000">
              <w:rPr>
                <w:rtl w:val="0"/>
              </w:rPr>
            </w:r>
          </w:p>
        </w:tc>
        <w:tc>
          <w:tcPr/>
          <w:p w:rsidR="00000000" w:rsidDel="00000000" w:rsidP="00000000" w:rsidRDefault="00000000" w:rsidRPr="00000000" w14:paraId="000000F4">
            <w:pPr>
              <w:spacing w:before="240" w:lineRule="auto"/>
              <w:rPr>
                <w:rFonts w:ascii="Times New Roman" w:cs="Times New Roman" w:eastAsia="Times New Roman" w:hAnsi="Times New Roman"/>
              </w:rPr>
            </w:pPr>
            <w:hyperlink r:id="rId36">
              <w:r w:rsidDel="00000000" w:rsidR="00000000" w:rsidRPr="00000000">
                <w:rPr>
                  <w:rFonts w:ascii="Arial" w:cs="Arial" w:eastAsia="Arial" w:hAnsi="Arial"/>
                  <w:color w:val="0563c1"/>
                  <w:sz w:val="21"/>
                  <w:szCs w:val="21"/>
                  <w:u w:val="single"/>
                  <w:rtl w:val="0"/>
                </w:rPr>
                <w:t xml:space="preserve">17 ottobre 2022, n. 34</w:t>
              </w:r>
            </w:hyperlink>
            <w:r w:rsidDel="00000000" w:rsidR="00000000" w:rsidRPr="00000000">
              <w:rPr>
                <w:rtl w:val="0"/>
              </w:rPr>
            </w:r>
          </w:p>
        </w:tc>
        <w:tc>
          <w:tcPr/>
          <w:p w:rsidR="00000000" w:rsidDel="00000000" w:rsidP="00000000" w:rsidRDefault="00000000" w:rsidRPr="00000000" w14:paraId="000000F5">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Linee guida metodologiche per la rendicontazione degli indicatori comuni per il PNRR</w:t>
            </w:r>
          </w:p>
        </w:tc>
        <w:tc>
          <w:tcPr/>
          <w:p w:rsidR="00000000" w:rsidDel="00000000" w:rsidP="00000000" w:rsidRDefault="00000000" w:rsidRPr="00000000" w14:paraId="000000F6">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Il Regolamento UE 2021/241 istitutivo del Dispositivo di ripresa e resilienza attribuisce agli Stati membri l'obbligo di riferire due volte l'anno nell'ambito del semestre europeo anche in merito agli indicatori comuni (art. 27).</w:t>
            </w:r>
            <w:r w:rsidDel="00000000" w:rsidR="00000000" w:rsidRPr="00000000">
              <w:rPr>
                <w:rtl w:val="0"/>
              </w:rPr>
            </w:r>
          </w:p>
          <w:p w:rsidR="00000000" w:rsidDel="00000000" w:rsidP="00000000" w:rsidRDefault="00000000" w:rsidRPr="00000000" w14:paraId="000000F7">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Tali indicatori sono stati adottati dalla Commissione Europea con il Regolamento delegato 2021/2106 per riferire sui progressi e ai fini del monitoraggio e della valutazione del dispositivo per quanto riguarda il raggiungimento degli obiettivi generali e specifici.</w:t>
            </w:r>
            <w:r w:rsidDel="00000000" w:rsidR="00000000" w:rsidRPr="00000000">
              <w:rPr>
                <w:rtl w:val="0"/>
              </w:rPr>
            </w:r>
          </w:p>
          <w:p w:rsidR="00000000" w:rsidDel="00000000" w:rsidP="00000000" w:rsidRDefault="00000000" w:rsidRPr="00000000" w14:paraId="000000F8">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La circolare fornisce istruzioni alle Amministrazioni circa la rendicontazione dei dati sugli indicatori comuni per il Piano Nazionale di Ripresa e Resilienza, indicando il ruolo dei soggetti coinvolti e il calendario per la rilevazione periodica.</w:t>
            </w:r>
            <w:r w:rsidDel="00000000" w:rsidR="00000000" w:rsidRPr="00000000">
              <w:rPr>
                <w:rtl w:val="0"/>
              </w:rPr>
            </w:r>
          </w:p>
          <w:p w:rsidR="00000000" w:rsidDel="00000000" w:rsidP="00000000" w:rsidRDefault="00000000" w:rsidRPr="00000000" w14:paraId="000000F9">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Alla circolare sono allegate le Linee guida metodologiche per la rendicontazione e la trasmissione degli indicatori comuni, che includono la metodologia di calcolo, le indicazioni per la rilevazione nel sistema informativo REGIS e la mappatura tra i 14 indicatori e le misure o sub-misure del PNRR</w:t>
            </w:r>
            <w:r w:rsidDel="00000000" w:rsidR="00000000" w:rsidRPr="00000000">
              <w:rPr>
                <w:rtl w:val="0"/>
              </w:rPr>
            </w:r>
          </w:p>
        </w:tc>
        <w:tc>
          <w:tcPr/>
          <w:p w:rsidR="00000000" w:rsidDel="00000000" w:rsidP="00000000" w:rsidRDefault="00000000" w:rsidRPr="00000000" w14:paraId="000000FA">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c>
          <w:tcPr/>
          <w:p w:rsidR="00000000" w:rsidDel="00000000" w:rsidP="00000000" w:rsidRDefault="00000000" w:rsidRPr="00000000" w14:paraId="000000FB">
            <w:pPr>
              <w:spacing w:before="240" w:lineRule="auto"/>
              <w:rPr>
                <w:rFonts w:ascii="Arial" w:cs="Arial" w:eastAsia="Arial" w:hAnsi="Arial"/>
                <w:color w:val="374151"/>
                <w:sz w:val="21"/>
                <w:szCs w:val="21"/>
              </w:rPr>
            </w:pPr>
            <w:r w:rsidDel="00000000" w:rsidR="00000000" w:rsidRPr="00000000">
              <w:rPr>
                <w:rtl w:val="0"/>
              </w:rPr>
              <w:t xml:space="preserve">Circolare n. 33 del 15 luglio 2024</w:t>
            </w:r>
            <w:r w:rsidDel="00000000" w:rsidR="00000000" w:rsidRPr="00000000">
              <w:rPr>
                <w:rtl w:val="0"/>
              </w:rPr>
            </w:r>
          </w:p>
        </w:tc>
      </w:tr>
      <w:tr>
        <w:trPr>
          <w:cantSplit w:val="0"/>
          <w:tblHeader w:val="0"/>
        </w:trPr>
        <w:tc>
          <w:tcPr/>
          <w:p w:rsidR="00000000" w:rsidDel="00000000" w:rsidP="00000000" w:rsidRDefault="00000000" w:rsidRPr="00000000" w14:paraId="000000FC">
            <w:pPr>
              <w:spacing w:before="240" w:lineRule="auto"/>
              <w:rPr>
                <w:rFonts w:ascii="Times New Roman" w:cs="Times New Roman" w:eastAsia="Times New Roman" w:hAnsi="Times New Roman"/>
              </w:rPr>
            </w:pPr>
            <w:r w:rsidDel="00000000" w:rsidR="00000000" w:rsidRPr="00000000">
              <w:rPr>
                <w:rFonts w:ascii="Arial" w:cs="Arial" w:eastAsia="Arial" w:hAnsi="Arial"/>
                <w:b w:val="1"/>
                <w:bCs w:val="1"/>
                <w:color w:val="374151"/>
                <w:sz w:val="21"/>
                <w:szCs w:val="21"/>
                <w:rtl w:val="0"/>
              </w:rPr>
              <w:t xml:space="preserve">2022</w:t>
            </w:r>
            <w:r w:rsidDel="00000000" w:rsidR="00000000" w:rsidRPr="00000000">
              <w:rPr>
                <w:rtl w:val="0"/>
              </w:rPr>
            </w:r>
          </w:p>
        </w:tc>
        <w:tc>
          <w:tcPr/>
          <w:p w:rsidR="00000000" w:rsidDel="00000000" w:rsidP="00000000" w:rsidRDefault="00000000" w:rsidRPr="00000000" w14:paraId="000000FD">
            <w:pPr>
              <w:spacing w:before="240" w:lineRule="auto"/>
              <w:rPr>
                <w:rFonts w:ascii="Times New Roman" w:cs="Times New Roman" w:eastAsia="Times New Roman" w:hAnsi="Times New Roman"/>
              </w:rPr>
            </w:pPr>
            <w:hyperlink r:id="rId37">
              <w:r w:rsidDel="00000000" w:rsidR="00000000" w:rsidRPr="00000000">
                <w:rPr>
                  <w:rFonts w:ascii="Arial" w:cs="Arial" w:eastAsia="Arial" w:hAnsi="Arial"/>
                  <w:color w:val="0563c1"/>
                  <w:sz w:val="21"/>
                  <w:szCs w:val="21"/>
                  <w:u w:val="single"/>
                  <w:rtl w:val="0"/>
                </w:rPr>
                <w:t xml:space="preserve">13 ottobre 2022, n. 33</w:t>
              </w:r>
            </w:hyperlink>
            <w:r w:rsidDel="00000000" w:rsidR="00000000" w:rsidRPr="00000000">
              <w:rPr>
                <w:rtl w:val="0"/>
              </w:rPr>
            </w:r>
          </w:p>
        </w:tc>
        <w:tc>
          <w:tcPr/>
          <w:p w:rsidR="00000000" w:rsidDel="00000000" w:rsidP="00000000" w:rsidRDefault="00000000" w:rsidRPr="00000000" w14:paraId="000000FE">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Aggiornamento Guida operativa per il rispetto del principio di non arrecare danno significativo all'ambiente (cd. DNSH).</w:t>
            </w:r>
          </w:p>
        </w:tc>
        <w:tc>
          <w:tcPr/>
          <w:p w:rsidR="00000000" w:rsidDel="00000000" w:rsidP="00000000" w:rsidRDefault="00000000" w:rsidRPr="00000000" w14:paraId="000000FF">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Il Dispositivo per la ripresa e la resilienza (Regolamento UE 241/2021) stabilisce all'articolo 18 che tutte le misure dei Piani nazionali per la ripresa e resilienza (PNRR), sia riforme che investimenti, debbano soddisfare il principio di “non arrecare danno significativo agli obiettivi ambientali”.</w:t>
            </w:r>
            <w:r w:rsidDel="00000000" w:rsidR="00000000" w:rsidRPr="00000000">
              <w:rPr>
                <w:rtl w:val="0"/>
              </w:rPr>
            </w:r>
          </w:p>
          <w:p w:rsidR="00000000" w:rsidDel="00000000" w:rsidP="00000000" w:rsidRDefault="00000000" w:rsidRPr="00000000" w14:paraId="00000100">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Tale vincolo si traduce in una valutazione di conformità degli interventi al principio del ''Do No Significant Harm'' (DNSH), con riferimento al sistema di tassonomia delle attività ecosostenibili, di cui all'articolo 17 del Regolamento (UE) 2020/852 ex-ante, in itinere e ex-post.</w:t>
            </w:r>
            <w:r w:rsidDel="00000000" w:rsidR="00000000" w:rsidRPr="00000000">
              <w:rPr>
                <w:rtl w:val="0"/>
              </w:rPr>
            </w:r>
          </w:p>
          <w:p w:rsidR="00000000" w:rsidDel="00000000" w:rsidP="00000000" w:rsidRDefault="00000000" w:rsidRPr="00000000" w14:paraId="00000101">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Al fine assistere le Amministrazioni titolari di misure e i Soggetti attuatori degli interventi ad assicurare il rispetto del principio DNSH, è stato previsto un aggiornamento della Guida Operativa per il rispetto del principio di non arrecare danno significativo all'ambiente emanata con la circolare n.32 della RGS emanata in data 30 dicembre 2021.</w:t>
            </w:r>
            <w:r w:rsidDel="00000000" w:rsidR="00000000" w:rsidRPr="00000000">
              <w:rPr>
                <w:rtl w:val="0"/>
              </w:rPr>
            </w:r>
          </w:p>
          <w:p w:rsidR="00000000" w:rsidDel="00000000" w:rsidP="00000000" w:rsidRDefault="00000000" w:rsidRPr="00000000" w14:paraId="00000102">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Le principali novità della Guida Operativa aggiornata, allegata alla presente circolare, attengono alla revisione della mappatura che associa ad ogni misura le schede tecniche e check list di riferimento;</w:t>
            </w:r>
            <w:r w:rsidDel="00000000" w:rsidR="00000000" w:rsidRPr="00000000">
              <w:rPr>
                <w:rtl w:val="0"/>
              </w:rPr>
            </w:r>
          </w:p>
          <w:p w:rsidR="00000000" w:rsidDel="00000000" w:rsidP="00000000" w:rsidRDefault="00000000" w:rsidRPr="00000000" w14:paraId="00000103">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al recepimento di integrazioni e modifiche puntuali tese a rendere le schede tecniche e check list più coerenti con l'attuazione delle misure;</w:t>
            </w:r>
            <w:r w:rsidDel="00000000" w:rsidR="00000000" w:rsidRPr="00000000">
              <w:rPr>
                <w:rtl w:val="0"/>
              </w:rPr>
            </w:r>
          </w:p>
          <w:p w:rsidR="00000000" w:rsidDel="00000000" w:rsidP="00000000" w:rsidRDefault="00000000" w:rsidRPr="00000000" w14:paraId="00000104">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all'inserimento di due nuove schede su “Impianti di irrigazione” e “Trasmissione e distribuzione di energia elettrica”;</w:t>
            </w:r>
            <w:r w:rsidDel="00000000" w:rsidR="00000000" w:rsidRPr="00000000">
              <w:rPr>
                <w:rtl w:val="0"/>
              </w:rPr>
            </w:r>
          </w:p>
          <w:p w:rsidR="00000000" w:rsidDel="00000000" w:rsidP="00000000" w:rsidRDefault="00000000" w:rsidRPr="00000000" w14:paraId="00000105">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all'introduzione laddove possibile di “requisiti trasversali” che semplificano l'attività di verifica poiché, se rispettati, consentono di ritenere la misura conforme al principio DNSH rispetto a tutti gli obiettivi ambientali pertinenti</w:t>
            </w:r>
            <w:r w:rsidDel="00000000" w:rsidR="00000000" w:rsidRPr="00000000">
              <w:rPr>
                <w:rtl w:val="0"/>
              </w:rPr>
            </w:r>
          </w:p>
        </w:tc>
        <w:tc>
          <w:tcPr/>
          <w:p w:rsidR="00000000" w:rsidDel="00000000" w:rsidP="00000000" w:rsidRDefault="00000000" w:rsidRPr="00000000" w14:paraId="00000106">
            <w:pPr>
              <w:spacing w:before="240" w:lineRule="auto"/>
              <w:rPr>
                <w:rFonts w:ascii="Arial" w:cs="Arial" w:eastAsia="Arial" w:hAnsi="Arial"/>
                <w:color w:val="374151"/>
                <w:sz w:val="21"/>
                <w:szCs w:val="21"/>
              </w:rPr>
            </w:pPr>
            <w:r w:rsidDel="00000000" w:rsidR="00000000" w:rsidRPr="00000000">
              <w:rPr>
                <w:rtl w:val="0"/>
              </w:rPr>
              <w:t xml:space="preserve">Circolare n. 32 del 30 dicembre 2021</w:t>
            </w:r>
            <w:r w:rsidDel="00000000" w:rsidR="00000000" w:rsidRPr="00000000">
              <w:rPr>
                <w:rtl w:val="0"/>
              </w:rPr>
            </w:r>
          </w:p>
        </w:tc>
        <w:tc>
          <w:tcPr/>
          <w:p w:rsidR="00000000" w:rsidDel="00000000" w:rsidP="00000000" w:rsidRDefault="00000000" w:rsidRPr="00000000" w14:paraId="00000107">
            <w:pPr>
              <w:spacing w:before="240" w:lineRule="auto"/>
              <w:rPr>
                <w:rFonts w:ascii="Arial" w:cs="Arial" w:eastAsia="Arial" w:hAnsi="Arial"/>
                <w:color w:val="374151"/>
                <w:sz w:val="21"/>
                <w:szCs w:val="21"/>
              </w:rPr>
            </w:pPr>
            <w:r w:rsidDel="00000000" w:rsidR="00000000" w:rsidRPr="00000000">
              <w:rPr>
                <w:rtl w:val="0"/>
              </w:rPr>
              <w:t xml:space="preserve">Circolare n. 22 del 14 maggio 2024</w:t>
            </w:r>
            <w:r w:rsidDel="00000000" w:rsidR="00000000" w:rsidRPr="00000000">
              <w:rPr>
                <w:rtl w:val="0"/>
              </w:rPr>
            </w:r>
          </w:p>
        </w:tc>
      </w:tr>
      <w:tr>
        <w:trPr>
          <w:cantSplit w:val="0"/>
          <w:tblHeader w:val="0"/>
        </w:trPr>
        <w:tc>
          <w:tcPr/>
          <w:p w:rsidR="00000000" w:rsidDel="00000000" w:rsidP="00000000" w:rsidRDefault="00000000" w:rsidRPr="00000000" w14:paraId="00000108">
            <w:pPr>
              <w:spacing w:before="240" w:lineRule="auto"/>
              <w:rPr>
                <w:rFonts w:ascii="Times New Roman" w:cs="Times New Roman" w:eastAsia="Times New Roman" w:hAnsi="Times New Roman"/>
              </w:rPr>
            </w:pPr>
            <w:r w:rsidDel="00000000" w:rsidR="00000000" w:rsidRPr="00000000">
              <w:rPr>
                <w:rFonts w:ascii="Arial" w:cs="Arial" w:eastAsia="Arial" w:hAnsi="Arial"/>
                <w:b w:val="1"/>
                <w:bCs w:val="1"/>
                <w:color w:val="374151"/>
                <w:sz w:val="21"/>
                <w:szCs w:val="21"/>
                <w:rtl w:val="0"/>
              </w:rPr>
              <w:t xml:space="preserve">2022</w:t>
            </w:r>
            <w:r w:rsidDel="00000000" w:rsidR="00000000" w:rsidRPr="00000000">
              <w:rPr>
                <w:rtl w:val="0"/>
              </w:rPr>
            </w:r>
          </w:p>
        </w:tc>
        <w:tc>
          <w:tcPr/>
          <w:p w:rsidR="00000000" w:rsidDel="00000000" w:rsidP="00000000" w:rsidRDefault="00000000" w:rsidRPr="00000000" w14:paraId="00000109">
            <w:pPr>
              <w:spacing w:before="240" w:lineRule="auto"/>
              <w:rPr>
                <w:rFonts w:ascii="Times New Roman" w:cs="Times New Roman" w:eastAsia="Times New Roman" w:hAnsi="Times New Roman"/>
              </w:rPr>
            </w:pPr>
            <w:hyperlink r:id="rId38">
              <w:r w:rsidDel="00000000" w:rsidR="00000000" w:rsidRPr="00000000">
                <w:rPr>
                  <w:rFonts w:ascii="Arial" w:cs="Arial" w:eastAsia="Arial" w:hAnsi="Arial"/>
                  <w:color w:val="0563c1"/>
                  <w:sz w:val="21"/>
                  <w:szCs w:val="21"/>
                  <w:u w:val="single"/>
                  <w:rtl w:val="0"/>
                </w:rPr>
                <w:t xml:space="preserve">22 settembre 2022, n. 32</w:t>
              </w:r>
            </w:hyperlink>
            <w:r w:rsidDel="00000000" w:rsidR="00000000" w:rsidRPr="00000000">
              <w:rPr>
                <w:rtl w:val="0"/>
              </w:rPr>
            </w:r>
          </w:p>
        </w:tc>
        <w:tc>
          <w:tcPr/>
          <w:p w:rsidR="00000000" w:rsidDel="00000000" w:rsidP="00000000" w:rsidRDefault="00000000" w:rsidRPr="00000000" w14:paraId="0000010A">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PNRR – acquisto di immobili a valere sul PNRR</w:t>
            </w:r>
          </w:p>
        </w:tc>
        <w:tc>
          <w:tcPr/>
          <w:p w:rsidR="00000000" w:rsidDel="00000000" w:rsidP="00000000" w:rsidRDefault="00000000" w:rsidRPr="00000000" w14:paraId="0000010B">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La Circolare n. 32 del 22 settembre 2022 con oggetto “Piano Nazionale Ripresa e Resilienza – acquisto di immobili a valere sul PNRR” detta le condizioni di ammissibilità della spesa per l'acquisto di immobili a valere sul PNRR e le procedure da seguire per le Amministrazioni coinvolte in linea con la normativa di riferimento.</w:t>
            </w:r>
            <w:r w:rsidDel="00000000" w:rsidR="00000000" w:rsidRPr="00000000">
              <w:rPr>
                <w:rtl w:val="0"/>
              </w:rPr>
            </w:r>
          </w:p>
          <w:p w:rsidR="00000000" w:rsidDel="00000000" w:rsidP="00000000" w:rsidRDefault="00000000" w:rsidRPr="00000000" w14:paraId="0000010C">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In data 26 ottobre 2022 è stata pubblicata l’errata corrige alla circolare del 22 settembre 2022, n. 32.</w:t>
            </w:r>
            <w:r w:rsidDel="00000000" w:rsidR="00000000" w:rsidRPr="00000000">
              <w:rPr>
                <w:rtl w:val="0"/>
              </w:rPr>
            </w:r>
          </w:p>
        </w:tc>
        <w:tc>
          <w:tcPr/>
          <w:p w:rsidR="00000000" w:rsidDel="00000000" w:rsidP="00000000" w:rsidRDefault="00000000" w:rsidRPr="00000000" w14:paraId="0000010D">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c>
          <w:tcPr/>
          <w:p w:rsidR="00000000" w:rsidDel="00000000" w:rsidP="00000000" w:rsidRDefault="00000000" w:rsidRPr="00000000" w14:paraId="0000010E">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r>
      <w:tr>
        <w:trPr>
          <w:cantSplit w:val="0"/>
          <w:tblHeader w:val="0"/>
        </w:trPr>
        <w:tc>
          <w:tcPr/>
          <w:p w:rsidR="00000000" w:rsidDel="00000000" w:rsidP="00000000" w:rsidRDefault="00000000" w:rsidRPr="00000000" w14:paraId="0000010F">
            <w:pPr>
              <w:spacing w:before="240" w:lineRule="auto"/>
              <w:rPr>
                <w:rFonts w:ascii="Times New Roman" w:cs="Times New Roman" w:eastAsia="Times New Roman" w:hAnsi="Times New Roman"/>
              </w:rPr>
            </w:pPr>
            <w:r w:rsidDel="00000000" w:rsidR="00000000" w:rsidRPr="00000000">
              <w:rPr>
                <w:rFonts w:ascii="Arial" w:cs="Arial" w:eastAsia="Arial" w:hAnsi="Arial"/>
                <w:b w:val="1"/>
                <w:bCs w:val="1"/>
                <w:color w:val="374151"/>
                <w:sz w:val="21"/>
                <w:szCs w:val="21"/>
                <w:rtl w:val="0"/>
              </w:rPr>
              <w:t xml:space="preserve">2022</w:t>
            </w:r>
            <w:r w:rsidDel="00000000" w:rsidR="00000000" w:rsidRPr="00000000">
              <w:rPr>
                <w:rtl w:val="0"/>
              </w:rPr>
            </w:r>
          </w:p>
        </w:tc>
        <w:tc>
          <w:tcPr/>
          <w:p w:rsidR="00000000" w:rsidDel="00000000" w:rsidP="00000000" w:rsidRDefault="00000000" w:rsidRPr="00000000" w14:paraId="00000110">
            <w:pPr>
              <w:spacing w:before="240" w:lineRule="auto"/>
              <w:rPr>
                <w:rFonts w:ascii="Times New Roman" w:cs="Times New Roman" w:eastAsia="Times New Roman" w:hAnsi="Times New Roman"/>
              </w:rPr>
            </w:pPr>
            <w:hyperlink r:id="rId39">
              <w:r w:rsidDel="00000000" w:rsidR="00000000" w:rsidRPr="00000000">
                <w:rPr>
                  <w:rFonts w:ascii="Arial" w:cs="Arial" w:eastAsia="Arial" w:hAnsi="Arial"/>
                  <w:color w:val="0563c1"/>
                  <w:sz w:val="21"/>
                  <w:szCs w:val="21"/>
                  <w:u w:val="single"/>
                  <w:rtl w:val="0"/>
                </w:rPr>
                <w:t xml:space="preserve">21 settembre 2022, n. 31</w:t>
              </w:r>
            </w:hyperlink>
            <w:r w:rsidDel="00000000" w:rsidR="00000000" w:rsidRPr="00000000">
              <w:rPr>
                <w:rtl w:val="0"/>
              </w:rPr>
            </w:r>
          </w:p>
        </w:tc>
        <w:tc>
          <w:tcPr/>
          <w:p w:rsidR="00000000" w:rsidDel="00000000" w:rsidP="00000000" w:rsidRDefault="00000000" w:rsidRPr="00000000" w14:paraId="00000111">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Modalità di accesso al Fondo per l’avvio di opere indifferibili di cui all'articolo 26, commi 7 e 7-bis, del decreto-legge 17 maggio 2022, n. 50.</w:t>
            </w:r>
          </w:p>
        </w:tc>
        <w:tc>
          <w:tcPr/>
          <w:p w:rsidR="00000000" w:rsidDel="00000000" w:rsidP="00000000" w:rsidRDefault="00000000" w:rsidRPr="00000000" w14:paraId="00000112">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La circolare intende fornire alle amministrazioni destinatarie le necessarie indicazioni per accedere alle risorse del “Fondo per l'avvio di opere indifferibili” istituito con l’articolo 26, comma 7, del Decreto Legge “Aiuti” (50/2022).</w:t>
            </w:r>
            <w:r w:rsidDel="00000000" w:rsidR="00000000" w:rsidRPr="00000000">
              <w:rPr>
                <w:rtl w:val="0"/>
              </w:rPr>
            </w:r>
          </w:p>
          <w:p w:rsidR="00000000" w:rsidDel="00000000" w:rsidP="00000000" w:rsidRDefault="00000000" w:rsidRPr="00000000" w14:paraId="00000113">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L’articolo 5 del DPCM, recante le modalità di accesso a tale Fondo appena pubblicato in Gazzetta Ufficiale, prevede infatti che sia il Dipartimento della Ragioneria generale dello Stato a fornire le necessarie indicazioni, anche con riguardo ai dati che dovranno essere forniti dalle stazioni appaltanti. Al provvedimento, che indica schematicamente le diverse fasi della procedura attraverso il sistema informativo ReGis, sono allegati un manuale di Istruzioni operative, contenente la procedura che le stazioni appaltanti e l’amministrazione statale istante dovranno seguire, e una guida utente, che illustra il percorso attraverso le varie sezioni dell’applicativo.</w:t>
            </w:r>
            <w:r w:rsidDel="00000000" w:rsidR="00000000" w:rsidRPr="00000000">
              <w:rPr>
                <w:rtl w:val="0"/>
              </w:rPr>
            </w:r>
          </w:p>
        </w:tc>
        <w:tc>
          <w:tcPr/>
          <w:p w:rsidR="00000000" w:rsidDel="00000000" w:rsidP="00000000" w:rsidRDefault="00000000" w:rsidRPr="00000000" w14:paraId="00000114">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c>
          <w:tcPr/>
          <w:p w:rsidR="00000000" w:rsidDel="00000000" w:rsidP="00000000" w:rsidRDefault="00000000" w:rsidRPr="00000000" w14:paraId="00000115">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r>
      <w:tr>
        <w:trPr>
          <w:cantSplit w:val="0"/>
          <w:tblHeader w:val="0"/>
        </w:trPr>
        <w:tc>
          <w:tcPr/>
          <w:p w:rsidR="00000000" w:rsidDel="00000000" w:rsidP="00000000" w:rsidRDefault="00000000" w:rsidRPr="00000000" w14:paraId="00000116">
            <w:pPr>
              <w:spacing w:before="240" w:lineRule="auto"/>
              <w:rPr>
                <w:rFonts w:ascii="Times New Roman" w:cs="Times New Roman" w:eastAsia="Times New Roman" w:hAnsi="Times New Roman"/>
              </w:rPr>
            </w:pPr>
            <w:r w:rsidDel="00000000" w:rsidR="00000000" w:rsidRPr="00000000">
              <w:rPr>
                <w:rFonts w:ascii="Arial" w:cs="Arial" w:eastAsia="Arial" w:hAnsi="Arial"/>
                <w:b w:val="1"/>
                <w:bCs w:val="1"/>
                <w:color w:val="374151"/>
                <w:sz w:val="21"/>
                <w:szCs w:val="21"/>
                <w:rtl w:val="0"/>
              </w:rPr>
              <w:t xml:space="preserve">2022</w:t>
            </w:r>
            <w:r w:rsidDel="00000000" w:rsidR="00000000" w:rsidRPr="00000000">
              <w:rPr>
                <w:rtl w:val="0"/>
              </w:rPr>
            </w:r>
          </w:p>
        </w:tc>
        <w:tc>
          <w:tcPr/>
          <w:p w:rsidR="00000000" w:rsidDel="00000000" w:rsidP="00000000" w:rsidRDefault="00000000" w:rsidRPr="00000000" w14:paraId="00000117">
            <w:pPr>
              <w:spacing w:before="240" w:lineRule="auto"/>
              <w:rPr>
                <w:rFonts w:ascii="Times New Roman" w:cs="Times New Roman" w:eastAsia="Times New Roman" w:hAnsi="Times New Roman"/>
              </w:rPr>
            </w:pPr>
            <w:hyperlink r:id="rId40">
              <w:r w:rsidDel="00000000" w:rsidR="00000000" w:rsidRPr="00000000">
                <w:rPr>
                  <w:rFonts w:ascii="Arial" w:cs="Arial" w:eastAsia="Arial" w:hAnsi="Arial"/>
                  <w:color w:val="0563c1"/>
                  <w:sz w:val="21"/>
                  <w:szCs w:val="21"/>
                  <w:u w:val="single"/>
                  <w:rtl w:val="0"/>
                </w:rPr>
                <w:t xml:space="preserve">11 agosto 2022, n. 30</w:t>
              </w:r>
            </w:hyperlink>
            <w:r w:rsidDel="00000000" w:rsidR="00000000" w:rsidRPr="00000000">
              <w:rPr>
                <w:rtl w:val="0"/>
              </w:rPr>
            </w:r>
          </w:p>
        </w:tc>
        <w:tc>
          <w:tcPr/>
          <w:p w:rsidR="00000000" w:rsidDel="00000000" w:rsidP="00000000" w:rsidRDefault="00000000" w:rsidRPr="00000000" w14:paraId="00000118">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Circolare sulle procedure di controllo e rendicontazione delle misure PNRR.</w:t>
            </w:r>
          </w:p>
        </w:tc>
        <w:tc>
          <w:tcPr/>
          <w:p w:rsidR="00000000" w:rsidDel="00000000" w:rsidP="00000000" w:rsidRDefault="00000000" w:rsidRPr="00000000" w14:paraId="00000119">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Linee Guida per lo svolgimento delle attività di controllo e rendicontazione delle Misure PNRR di competenza delle Amministrazioni centrali e dei Soggetti attuatori</w:t>
            </w:r>
            <w:r w:rsidDel="00000000" w:rsidR="00000000" w:rsidRPr="00000000">
              <w:rPr>
                <w:rtl w:val="0"/>
              </w:rPr>
            </w:r>
          </w:p>
          <w:p w:rsidR="00000000" w:rsidDel="00000000" w:rsidP="00000000" w:rsidRDefault="00000000" w:rsidRPr="00000000" w14:paraId="0000011A">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La Circolare descrive i principali flussi procedurali inerenti i processi di controllo e rendicontazione delle Misure PNRR. Alla Circolare sono allegate le "Linee Guida per lo svolgimento delle attività di controllo e rendicontazione delle Misure PNRR di competenza delle Amministrazioni centrali e dei Soggetti attuatori" che illustrano più nel dettaglio tutti i citati flussi procedurali.</w:t>
            </w:r>
            <w:r w:rsidDel="00000000" w:rsidR="00000000" w:rsidRPr="00000000">
              <w:rPr>
                <w:rtl w:val="0"/>
              </w:rPr>
            </w:r>
          </w:p>
        </w:tc>
        <w:tc>
          <w:tcPr/>
          <w:p w:rsidR="00000000" w:rsidDel="00000000" w:rsidP="00000000" w:rsidRDefault="00000000" w:rsidRPr="00000000" w14:paraId="0000011B">
            <w:pPr>
              <w:spacing w:before="240" w:lineRule="auto"/>
              <w:rPr>
                <w:rFonts w:ascii="Arial" w:cs="Arial" w:eastAsia="Arial" w:hAnsi="Arial"/>
                <w:color w:val="374151"/>
                <w:sz w:val="21"/>
                <w:szCs w:val="21"/>
              </w:rPr>
            </w:pPr>
            <w:r w:rsidDel="00000000" w:rsidR="00000000" w:rsidRPr="00000000">
              <w:rPr>
                <w:rtl w:val="0"/>
              </w:rPr>
              <w:t xml:space="preserve">Circolare n. 21 del 14 ottobre 2021</w:t>
            </w:r>
            <w:r w:rsidDel="00000000" w:rsidR="00000000" w:rsidRPr="00000000">
              <w:rPr>
                <w:rtl w:val="0"/>
              </w:rPr>
            </w:r>
          </w:p>
        </w:tc>
        <w:tc>
          <w:tcPr/>
          <w:p w:rsidR="00000000" w:rsidDel="00000000" w:rsidP="00000000" w:rsidRDefault="00000000" w:rsidRPr="00000000" w14:paraId="0000011C">
            <w:pPr>
              <w:spacing w:before="240" w:lineRule="auto"/>
              <w:rPr>
                <w:rFonts w:ascii="Arial" w:cs="Arial" w:eastAsia="Arial" w:hAnsi="Arial"/>
                <w:color w:val="374151"/>
                <w:sz w:val="21"/>
                <w:szCs w:val="21"/>
              </w:rPr>
            </w:pPr>
            <w:r w:rsidDel="00000000" w:rsidR="00000000" w:rsidRPr="00000000">
              <w:rPr>
                <w:rtl w:val="0"/>
              </w:rPr>
              <w:t xml:space="preserve">Circolare n.16 del aprile 2023, e n. 16 n. 13 del 28 marzo 2024</w:t>
            </w:r>
            <w:r w:rsidDel="00000000" w:rsidR="00000000" w:rsidRPr="00000000">
              <w:rPr>
                <w:rtl w:val="0"/>
              </w:rPr>
            </w:r>
          </w:p>
        </w:tc>
      </w:tr>
      <w:tr>
        <w:trPr>
          <w:cantSplit w:val="0"/>
          <w:tblHeader w:val="0"/>
        </w:trPr>
        <w:tc>
          <w:tcPr/>
          <w:p w:rsidR="00000000" w:rsidDel="00000000" w:rsidP="00000000" w:rsidRDefault="00000000" w:rsidRPr="00000000" w14:paraId="0000011D">
            <w:pPr>
              <w:spacing w:before="240" w:lineRule="auto"/>
              <w:rPr>
                <w:rFonts w:ascii="Times New Roman" w:cs="Times New Roman" w:eastAsia="Times New Roman" w:hAnsi="Times New Roman"/>
              </w:rPr>
            </w:pPr>
            <w:r w:rsidDel="00000000" w:rsidR="00000000" w:rsidRPr="00000000">
              <w:rPr>
                <w:rFonts w:ascii="Arial" w:cs="Arial" w:eastAsia="Arial" w:hAnsi="Arial"/>
                <w:b w:val="1"/>
                <w:bCs w:val="1"/>
                <w:color w:val="374151"/>
                <w:sz w:val="21"/>
                <w:szCs w:val="21"/>
                <w:rtl w:val="0"/>
              </w:rPr>
              <w:t xml:space="preserve">2022</w:t>
            </w:r>
            <w:r w:rsidDel="00000000" w:rsidR="00000000" w:rsidRPr="00000000">
              <w:rPr>
                <w:rtl w:val="0"/>
              </w:rPr>
            </w:r>
          </w:p>
        </w:tc>
        <w:tc>
          <w:tcPr/>
          <w:p w:rsidR="00000000" w:rsidDel="00000000" w:rsidP="00000000" w:rsidRDefault="00000000" w:rsidRPr="00000000" w14:paraId="0000011E">
            <w:pPr>
              <w:spacing w:before="240" w:lineRule="auto"/>
              <w:rPr>
                <w:rFonts w:ascii="Times New Roman" w:cs="Times New Roman" w:eastAsia="Times New Roman" w:hAnsi="Times New Roman"/>
              </w:rPr>
            </w:pPr>
            <w:hyperlink r:id="rId41">
              <w:r w:rsidDel="00000000" w:rsidR="00000000" w:rsidRPr="00000000">
                <w:rPr>
                  <w:rFonts w:ascii="Arial" w:cs="Arial" w:eastAsia="Arial" w:hAnsi="Arial"/>
                  <w:color w:val="0563c1"/>
                  <w:sz w:val="21"/>
                  <w:szCs w:val="21"/>
                  <w:u w:val="single"/>
                  <w:rtl w:val="0"/>
                </w:rPr>
                <w:t xml:space="preserve">26 luglio 2022, n. 29</w:t>
              </w:r>
            </w:hyperlink>
            <w:r w:rsidDel="00000000" w:rsidR="00000000" w:rsidRPr="00000000">
              <w:rPr>
                <w:rtl w:val="0"/>
              </w:rPr>
            </w:r>
          </w:p>
        </w:tc>
        <w:tc>
          <w:tcPr/>
          <w:p w:rsidR="00000000" w:rsidDel="00000000" w:rsidP="00000000" w:rsidRDefault="00000000" w:rsidRPr="00000000" w14:paraId="0000011F">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Circolare delle procedure finanziarie PNRR</w:t>
            </w:r>
          </w:p>
        </w:tc>
        <w:tc>
          <w:tcPr/>
          <w:p w:rsidR="00000000" w:rsidDel="00000000" w:rsidP="00000000" w:rsidRDefault="00000000" w:rsidRPr="00000000" w14:paraId="00000120">
            <w:pPr>
              <w:spacing w:before="240" w:lineRule="auto"/>
              <w:rPr>
                <w:rFonts w:ascii="Times New Roman" w:cs="Times New Roman" w:eastAsia="Times New Roman" w:hAnsi="Times New Roman"/>
              </w:rPr>
            </w:pPr>
            <w:r w:rsidDel="00000000" w:rsidR="00000000" w:rsidRPr="00000000">
              <w:rPr>
                <w:rFonts w:ascii="Arial" w:cs="Arial" w:eastAsia="Arial" w:hAnsi="Arial"/>
                <w:b w:val="1"/>
                <w:bCs w:val="1"/>
                <w:color w:val="374151"/>
                <w:sz w:val="21"/>
                <w:szCs w:val="21"/>
                <w:rtl w:val="0"/>
              </w:rPr>
              <w:t xml:space="preserve">Modalità di erogazione delle risorse PNRR e principali modalità di contabilizzazione da parte degli enti territoriali soggetti attuatori</w:t>
            </w:r>
            <w:r w:rsidDel="00000000" w:rsidR="00000000" w:rsidRPr="00000000">
              <w:rPr>
                <w:rtl w:val="0"/>
              </w:rPr>
            </w:r>
          </w:p>
          <w:p w:rsidR="00000000" w:rsidDel="00000000" w:rsidP="00000000" w:rsidRDefault="00000000" w:rsidRPr="00000000" w14:paraId="00000121">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La Circolare fornisce indicazioni riguardo le modalità operative attraverso cui il Dipartimento della Ragioneria Generale dello Stato – Servizio Centrale per il PNRR procede ai trasferimenti delle risorse finanziarie allocate nei conti correnti NGEU aperti presso la tesoreria statale in favore delle Amministrazioni titolari delle misure e, laddove previsto, degli Organismi responsabili dell’attuazione dei singoli interventi.</w:t>
            </w:r>
            <w:r w:rsidDel="00000000" w:rsidR="00000000" w:rsidRPr="00000000">
              <w:rPr>
                <w:rtl w:val="0"/>
              </w:rPr>
            </w:r>
          </w:p>
          <w:p w:rsidR="00000000" w:rsidDel="00000000" w:rsidP="00000000" w:rsidRDefault="00000000" w:rsidRPr="00000000" w14:paraId="00000122">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La circolare riguarda esclusivamente la gestione delle risorse relative al PNRR giacenti nei conti correnti di tesoreria statale NGEU e non anche le rimanenti risorse destinate a finanziare interventi del PNRR ma allocate nel bilancio dello Stato che invece seguono le procedure ordinarie di gestione finanziaria e contabile attraverso i capitoli di bilancio/fondo sviluppo e coesione. Individua i soggetti coinvolti nel processo di gestione delle risorse finanziarie PNRR ovvero: il Servizio Centrale per il PNRR, le Amministrazioni centrali titolari delle misure e i Soggetti attuatori.</w:t>
            </w:r>
            <w:r w:rsidDel="00000000" w:rsidR="00000000" w:rsidRPr="00000000">
              <w:rPr>
                <w:rtl w:val="0"/>
              </w:rPr>
            </w:r>
          </w:p>
          <w:p w:rsidR="00000000" w:rsidDel="00000000" w:rsidP="00000000" w:rsidRDefault="00000000" w:rsidRPr="00000000" w14:paraId="00000123">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Descrive le modalità di erogazione delle risorse finanziarie, ai sensi del Decreto del Ministro dell’economia e delle finanze 11 ottobre 2021, distinte in:</w:t>
            </w:r>
            <w:r w:rsidDel="00000000" w:rsidR="00000000" w:rsidRPr="00000000">
              <w:rPr>
                <w:rtl w:val="0"/>
              </w:rPr>
            </w:r>
          </w:p>
          <w:p w:rsidR="00000000" w:rsidDel="00000000" w:rsidP="00000000" w:rsidRDefault="00000000" w:rsidRPr="00000000" w14:paraId="00000124">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anticipazione iniziale, finalizzata a consentire l’avvio delle attività di realizzazione degli interventi ed erogata generalmente fino ad un massimo del 10 per cento dell’importo assegnato,</w:t>
            </w:r>
            <w:r w:rsidDel="00000000" w:rsidR="00000000" w:rsidRPr="00000000">
              <w:rPr>
                <w:rtl w:val="0"/>
              </w:rPr>
            </w:r>
          </w:p>
          <w:p w:rsidR="00000000" w:rsidDel="00000000" w:rsidP="00000000" w:rsidRDefault="00000000" w:rsidRPr="00000000" w14:paraId="00000125">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pagamenti intermedi, finalizzati a rimborsare le spese effettivamente sostenute e rendicontate, erogati fino al raggiungimento (compresa l’anticipazione erogata) del 90 per cento dell’importo della misura PNRR,</w:t>
            </w:r>
            <w:r w:rsidDel="00000000" w:rsidR="00000000" w:rsidRPr="00000000">
              <w:rPr>
                <w:rtl w:val="0"/>
              </w:rPr>
            </w:r>
          </w:p>
          <w:p w:rsidR="00000000" w:rsidDel="00000000" w:rsidP="00000000" w:rsidRDefault="00000000" w:rsidRPr="00000000" w14:paraId="00000126">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il saldo, nella misura del 10 per cento dell’importo della misura PNRR, erogato sulla base della presentazione della richiesta di pagamento finale attestante la conclusione dell'intervento o la messa in opera della riforma, nonché il raggiungimento dei relativi Milestone e Target, in coerenza con le risultanze del sistema REGIS.</w:t>
            </w:r>
            <w:r w:rsidDel="00000000" w:rsidR="00000000" w:rsidRPr="00000000">
              <w:rPr>
                <w:rtl w:val="0"/>
              </w:rPr>
            </w:r>
          </w:p>
          <w:p w:rsidR="00000000" w:rsidDel="00000000" w:rsidP="00000000" w:rsidRDefault="00000000" w:rsidRPr="00000000" w14:paraId="00000127">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Si precisa che l’intero circuito finanziario, dalla richiesta di erogazione al pagamento al beneficiario finale, è gestito attraverso il modulo finanziario del sistema informativo REGIS che supporta, attraverso specifiche funzionalità, la gestione delle risorse allocate nei conti correnti di tesoreria relativi al PNRR e quelle trasferite sulle contabilità speciali delle amministrazioni titolari e/o dei soggetti attuatori.</w:t>
            </w:r>
            <w:r w:rsidDel="00000000" w:rsidR="00000000" w:rsidRPr="00000000">
              <w:rPr>
                <w:rtl w:val="0"/>
              </w:rPr>
            </w:r>
          </w:p>
          <w:p w:rsidR="00000000" w:rsidDel="00000000" w:rsidP="00000000" w:rsidRDefault="00000000" w:rsidRPr="00000000" w14:paraId="00000128">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Alla circolare è allegato il manuale operativo delle procedure finanziarie che è composto dalle disposizioni normative di riferimento e dai processi volti a illustrare le procedure operative, con particolare riferimento alle principali modalità di contabilizzazione delle risorse del PNRR da parte delle Amministrazioni titolari e dei soggetti attuatori.</w:t>
            </w:r>
            <w:r w:rsidDel="00000000" w:rsidR="00000000" w:rsidRPr="00000000">
              <w:rPr>
                <w:rtl w:val="0"/>
              </w:rPr>
            </w:r>
          </w:p>
          <w:p w:rsidR="00000000" w:rsidDel="00000000" w:rsidP="00000000" w:rsidRDefault="00000000" w:rsidRPr="00000000" w14:paraId="00000129">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Un paragrafo del manuale è dedicato agli enti territoriali, soggetti attuatori di interventi PNRR, tenuti al rispetto del titolo I, del decreto-legislativo n. 118/2011, per i quali sono riportate le principali modalità di contabilizzazione delle risorse relative al PNRR.</w:t>
            </w:r>
            <w:r w:rsidDel="00000000" w:rsidR="00000000" w:rsidRPr="00000000">
              <w:rPr>
                <w:rtl w:val="0"/>
              </w:rPr>
            </w:r>
          </w:p>
          <w:p w:rsidR="00000000" w:rsidDel="00000000" w:rsidP="00000000" w:rsidRDefault="00000000" w:rsidRPr="00000000" w14:paraId="0000012A">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Il manuale contiene infine un'appendice documentale con nove allegati relativi ai template standard, ad altri documenti utili alla gestione operativa delle attività e agli approfondimenti su alcune tematiche di carattere generale.</w:t>
            </w:r>
            <w:r w:rsidDel="00000000" w:rsidR="00000000" w:rsidRPr="00000000">
              <w:rPr>
                <w:rtl w:val="0"/>
              </w:rPr>
            </w:r>
          </w:p>
        </w:tc>
        <w:tc>
          <w:tcPr/>
          <w:p w:rsidR="00000000" w:rsidDel="00000000" w:rsidP="00000000" w:rsidRDefault="00000000" w:rsidRPr="00000000" w14:paraId="0000012B">
            <w:pPr>
              <w:spacing w:before="240" w:lineRule="auto"/>
              <w:rPr>
                <w:rFonts w:ascii="Arial" w:cs="Arial" w:eastAsia="Arial" w:hAnsi="Arial"/>
                <w:b w:val="1"/>
                <w:bCs w:val="1"/>
                <w:color w:val="374151"/>
                <w:sz w:val="21"/>
                <w:szCs w:val="21"/>
              </w:rPr>
            </w:pPr>
            <w:r w:rsidDel="00000000" w:rsidR="00000000" w:rsidRPr="00000000">
              <w:rPr>
                <w:rtl w:val="0"/>
              </w:rPr>
              <w:t xml:space="preserve">Nessuna</w:t>
            </w:r>
            <w:r w:rsidDel="00000000" w:rsidR="00000000" w:rsidRPr="00000000">
              <w:rPr>
                <w:rtl w:val="0"/>
              </w:rPr>
            </w:r>
          </w:p>
        </w:tc>
        <w:tc>
          <w:tcPr/>
          <w:p w:rsidR="00000000" w:rsidDel="00000000" w:rsidP="00000000" w:rsidRDefault="00000000" w:rsidRPr="00000000" w14:paraId="0000012C">
            <w:pPr>
              <w:spacing w:before="240" w:lineRule="auto"/>
              <w:rPr>
                <w:rFonts w:ascii="Arial" w:cs="Arial" w:eastAsia="Arial" w:hAnsi="Arial"/>
                <w:b w:val="1"/>
                <w:bCs w:val="1"/>
                <w:color w:val="374151"/>
                <w:sz w:val="21"/>
                <w:szCs w:val="21"/>
              </w:rPr>
            </w:pPr>
            <w:r w:rsidDel="00000000" w:rsidR="00000000" w:rsidRPr="00000000">
              <w:rPr>
                <w:rtl w:val="0"/>
              </w:rPr>
              <w:t xml:space="preserve">Nessuna</w:t>
            </w:r>
            <w:r w:rsidDel="00000000" w:rsidR="00000000" w:rsidRPr="00000000">
              <w:rPr>
                <w:rtl w:val="0"/>
              </w:rPr>
            </w:r>
          </w:p>
        </w:tc>
      </w:tr>
      <w:tr>
        <w:trPr>
          <w:cantSplit w:val="0"/>
          <w:tblHeader w:val="0"/>
        </w:trPr>
        <w:tc>
          <w:tcPr/>
          <w:p w:rsidR="00000000" w:rsidDel="00000000" w:rsidP="00000000" w:rsidRDefault="00000000" w:rsidRPr="00000000" w14:paraId="0000012D">
            <w:pPr>
              <w:spacing w:before="240" w:lineRule="auto"/>
              <w:rPr>
                <w:rFonts w:ascii="Times New Roman" w:cs="Times New Roman" w:eastAsia="Times New Roman" w:hAnsi="Times New Roman"/>
              </w:rPr>
            </w:pPr>
            <w:r w:rsidDel="00000000" w:rsidR="00000000" w:rsidRPr="00000000">
              <w:rPr>
                <w:rFonts w:ascii="Arial" w:cs="Arial" w:eastAsia="Arial" w:hAnsi="Arial"/>
                <w:b w:val="1"/>
                <w:bCs w:val="1"/>
                <w:color w:val="374151"/>
                <w:sz w:val="21"/>
                <w:szCs w:val="21"/>
                <w:rtl w:val="0"/>
              </w:rPr>
              <w:t xml:space="preserve">2022</w:t>
            </w:r>
            <w:r w:rsidDel="00000000" w:rsidR="00000000" w:rsidRPr="00000000">
              <w:rPr>
                <w:rtl w:val="0"/>
              </w:rPr>
            </w:r>
          </w:p>
        </w:tc>
        <w:tc>
          <w:tcPr/>
          <w:p w:rsidR="00000000" w:rsidDel="00000000" w:rsidP="00000000" w:rsidRDefault="00000000" w:rsidRPr="00000000" w14:paraId="0000012E">
            <w:pPr>
              <w:spacing w:before="240" w:lineRule="auto"/>
              <w:rPr>
                <w:rFonts w:ascii="Times New Roman" w:cs="Times New Roman" w:eastAsia="Times New Roman" w:hAnsi="Times New Roman"/>
              </w:rPr>
            </w:pPr>
            <w:hyperlink r:id="rId42">
              <w:r w:rsidDel="00000000" w:rsidR="00000000" w:rsidRPr="00000000">
                <w:rPr>
                  <w:rFonts w:ascii="Arial" w:cs="Arial" w:eastAsia="Arial" w:hAnsi="Arial"/>
                  <w:color w:val="0563c1"/>
                  <w:sz w:val="21"/>
                  <w:szCs w:val="21"/>
                  <w:u w:val="single"/>
                  <w:rtl w:val="0"/>
                </w:rPr>
                <w:t xml:space="preserve">4 luglio 2022, n. 28</w:t>
              </w:r>
            </w:hyperlink>
            <w:r w:rsidDel="00000000" w:rsidR="00000000" w:rsidRPr="00000000">
              <w:rPr>
                <w:rtl w:val="0"/>
              </w:rPr>
            </w:r>
          </w:p>
        </w:tc>
        <w:tc>
          <w:tcPr/>
          <w:p w:rsidR="00000000" w:rsidDel="00000000" w:rsidP="00000000" w:rsidRDefault="00000000" w:rsidRPr="00000000" w14:paraId="0000012F">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Controllo di regolarità amministrativa e contabile dei rendiconti di contabilità ordinaria e di contabilità speciale. Controllo di regolarità amministrativa e contabile sugli atti di gestione delle risorse del PNRR - prime indicazioni operative.</w:t>
            </w:r>
          </w:p>
        </w:tc>
        <w:tc>
          <w:tcPr/>
          <w:p w:rsidR="00000000" w:rsidDel="00000000" w:rsidP="00000000" w:rsidRDefault="00000000" w:rsidRPr="00000000" w14:paraId="00000130">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La circolare fornisce alcune precisazioni in merito al controllo dei rendiconti relativi agli atti di spesa posti in essere dai funzionari delegati di cui all'articolo 34, comma 2-bis, della legge 31 dicembre 2009, n. 196, e dai commissari delegati, funzionari delegati o altri soggetti gestori, comunque denominati, titolari di contabilità speciali, anche con specifico riferimento alle contabilità speciali previste nell'ambito delle procedure relative alla gestione finanziaria delle risorse del Piano Nazionale di Ripresa e Resilienza (PNRR).</w:t>
            </w:r>
            <w:r w:rsidDel="00000000" w:rsidR="00000000" w:rsidRPr="00000000">
              <w:rPr>
                <w:rtl w:val="0"/>
              </w:rPr>
            </w:r>
          </w:p>
        </w:tc>
        <w:tc>
          <w:tcPr/>
          <w:p w:rsidR="00000000" w:rsidDel="00000000" w:rsidP="00000000" w:rsidRDefault="00000000" w:rsidRPr="00000000" w14:paraId="00000131">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c>
          <w:tcPr/>
          <w:p w:rsidR="00000000" w:rsidDel="00000000" w:rsidP="00000000" w:rsidRDefault="00000000" w:rsidRPr="00000000" w14:paraId="00000132">
            <w:pPr>
              <w:spacing w:before="240" w:lineRule="auto"/>
              <w:rPr>
                <w:rFonts w:ascii="Arial" w:cs="Arial" w:eastAsia="Arial" w:hAnsi="Arial"/>
                <w:color w:val="374151"/>
                <w:sz w:val="21"/>
                <w:szCs w:val="21"/>
              </w:rPr>
            </w:pPr>
            <w:r w:rsidDel="00000000" w:rsidR="00000000" w:rsidRPr="00000000">
              <w:rPr>
                <w:rtl w:val="0"/>
              </w:rPr>
              <w:t xml:space="preserve">Circolare n.1 del </w:t>
            </w:r>
            <w:hyperlink r:id="rId43">
              <w:r w:rsidDel="00000000" w:rsidR="00000000" w:rsidRPr="00000000">
                <w:rPr>
                  <w:rtl w:val="0"/>
                </w:rPr>
                <w:t xml:space="preserve">2 gennaio 2023</w:t>
              </w:r>
            </w:hyperlink>
            <w:r w:rsidDel="00000000" w:rsidR="00000000" w:rsidRPr="00000000">
              <w:rPr>
                <w:rtl w:val="0"/>
              </w:rPr>
            </w:r>
          </w:p>
        </w:tc>
      </w:tr>
      <w:tr>
        <w:trPr>
          <w:cantSplit w:val="0"/>
          <w:tblHeader w:val="0"/>
        </w:trPr>
        <w:tc>
          <w:tcPr/>
          <w:p w:rsidR="00000000" w:rsidDel="00000000" w:rsidP="00000000" w:rsidRDefault="00000000" w:rsidRPr="00000000" w14:paraId="00000133">
            <w:pPr>
              <w:spacing w:before="240" w:lineRule="auto"/>
              <w:rPr>
                <w:rFonts w:ascii="Times New Roman" w:cs="Times New Roman" w:eastAsia="Times New Roman" w:hAnsi="Times New Roman"/>
              </w:rPr>
            </w:pPr>
            <w:r w:rsidDel="00000000" w:rsidR="00000000" w:rsidRPr="00000000">
              <w:rPr>
                <w:rFonts w:ascii="Arial" w:cs="Arial" w:eastAsia="Arial" w:hAnsi="Arial"/>
                <w:b w:val="1"/>
                <w:bCs w:val="1"/>
                <w:color w:val="374151"/>
                <w:sz w:val="21"/>
                <w:szCs w:val="21"/>
                <w:rtl w:val="0"/>
              </w:rPr>
              <w:t xml:space="preserve">2022</w:t>
            </w:r>
            <w:r w:rsidDel="00000000" w:rsidR="00000000" w:rsidRPr="00000000">
              <w:rPr>
                <w:rtl w:val="0"/>
              </w:rPr>
            </w:r>
          </w:p>
        </w:tc>
        <w:tc>
          <w:tcPr/>
          <w:p w:rsidR="00000000" w:rsidDel="00000000" w:rsidP="00000000" w:rsidRDefault="00000000" w:rsidRPr="00000000" w14:paraId="00000134">
            <w:pPr>
              <w:spacing w:before="240" w:lineRule="auto"/>
              <w:rPr>
                <w:rFonts w:ascii="Times New Roman" w:cs="Times New Roman" w:eastAsia="Times New Roman" w:hAnsi="Times New Roman"/>
              </w:rPr>
            </w:pPr>
            <w:hyperlink r:id="rId44">
              <w:r w:rsidDel="00000000" w:rsidR="00000000" w:rsidRPr="00000000">
                <w:rPr>
                  <w:rFonts w:ascii="Arial" w:cs="Arial" w:eastAsia="Arial" w:hAnsi="Arial"/>
                  <w:color w:val="0563c1"/>
                  <w:sz w:val="21"/>
                  <w:szCs w:val="21"/>
                  <w:u w:val="single"/>
                  <w:rtl w:val="0"/>
                </w:rPr>
                <w:t xml:space="preserve">21 giugno 2022, n. 27 (PNRR)</w:t>
              </w:r>
            </w:hyperlink>
            <w:r w:rsidDel="00000000" w:rsidR="00000000" w:rsidRPr="00000000">
              <w:rPr>
                <w:rtl w:val="0"/>
              </w:rPr>
            </w:r>
          </w:p>
        </w:tc>
        <w:tc>
          <w:tcPr/>
          <w:p w:rsidR="00000000" w:rsidDel="00000000" w:rsidP="00000000" w:rsidRDefault="00000000" w:rsidRPr="00000000" w14:paraId="00000135">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Monitoraggio delle misure PNRR.</w:t>
            </w:r>
          </w:p>
        </w:tc>
        <w:tc>
          <w:tcPr/>
          <w:p w:rsidR="00000000" w:rsidDel="00000000" w:rsidP="00000000" w:rsidRDefault="00000000" w:rsidRPr="00000000" w14:paraId="00000136">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In base a quanto previsto dall'art. 1, comma 1043 della legge 30 dicembre 2020 n. 178 (legge di bilancio per il 2021) e dal DPCM adottato in data 15 settembre 2021, il Dipartimento della Ragioneria Generale dello Stato ha sviluppato il sistema informatico ReGiS specificamente rivolto alla rilevazione e diffusione dei dati di monitoraggio del Piano Nazionale di Ripresa e Resilienza (PNRR), nonché a supportare gli adempimenti di rendicontazione e controllo previsti dalla normativa vigente.</w:t>
            </w:r>
            <w:r w:rsidDel="00000000" w:rsidR="00000000" w:rsidRPr="00000000">
              <w:rPr>
                <w:rtl w:val="0"/>
              </w:rPr>
            </w:r>
          </w:p>
          <w:p w:rsidR="00000000" w:rsidDel="00000000" w:rsidP="00000000" w:rsidRDefault="00000000" w:rsidRPr="00000000" w14:paraId="00000137">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Il sistema ReGiS rappresenta la modalità unica attraverso cui le Amministrazioni interessate a livello centrale e territoriale potranno adempiere agli obblighi di monitoraggio, rendicontazione e controllo delle misure e dei progetti finanziati dal PNRR.</w:t>
            </w:r>
            <w:r w:rsidDel="00000000" w:rsidR="00000000" w:rsidRPr="00000000">
              <w:rPr>
                <w:rtl w:val="0"/>
              </w:rPr>
            </w:r>
          </w:p>
          <w:p w:rsidR="00000000" w:rsidDel="00000000" w:rsidP="00000000" w:rsidRDefault="00000000" w:rsidRPr="00000000" w14:paraId="00000138">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A tal fine si emana la Circolare che fornisce le istruzioni per il corretto monitoraggio dei dati relativi alle misure del PNRR di cui sono titolari le Amministrazioni centrali.</w:t>
            </w:r>
            <w:r w:rsidDel="00000000" w:rsidR="00000000" w:rsidRPr="00000000">
              <w:rPr>
                <w:rtl w:val="0"/>
              </w:rPr>
            </w:r>
          </w:p>
          <w:p w:rsidR="00000000" w:rsidDel="00000000" w:rsidP="00000000" w:rsidRDefault="00000000" w:rsidRPr="00000000" w14:paraId="00000139">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La Circolare si intende integrata dai seguenti allegati:</w:t>
            </w:r>
            <w:r w:rsidDel="00000000" w:rsidR="00000000" w:rsidRPr="00000000">
              <w:rPr>
                <w:rtl w:val="0"/>
              </w:rPr>
            </w:r>
          </w:p>
          <w:p w:rsidR="00000000" w:rsidDel="00000000" w:rsidP="00000000" w:rsidRDefault="00000000" w:rsidRPr="00000000" w14:paraId="0000013A">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Linee Guida per il Monitoraggio del PNRR, con le quali si forniscono indicazioni operative sulle modalità di espletamento degli adempimenti di monitoraggio attraverso il sistema ReGiS;</w:t>
            </w:r>
            <w:r w:rsidDel="00000000" w:rsidR="00000000" w:rsidRPr="00000000">
              <w:rPr>
                <w:rtl w:val="0"/>
              </w:rPr>
            </w:r>
          </w:p>
          <w:p w:rsidR="00000000" w:rsidDel="00000000" w:rsidP="00000000" w:rsidRDefault="00000000" w:rsidRPr="00000000" w14:paraId="0000013B">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Protocollo unico di colloquio PNRR vers.1.0, realizzato in continuità con i tracciati già in uso per il monitoraggio dei progetti di investimento pubblico finanziati con i fondi delle politiche di coesione e con altre risorse nazionali, al fine dell'acquisizione automatica delle informazioni dai sistemi locali delle Amministrazioni.</w:t>
            </w:r>
            <w:r w:rsidDel="00000000" w:rsidR="00000000" w:rsidRPr="00000000">
              <w:rPr>
                <w:rtl w:val="0"/>
              </w:rPr>
            </w:r>
          </w:p>
        </w:tc>
        <w:tc>
          <w:tcPr/>
          <w:p w:rsidR="00000000" w:rsidDel="00000000" w:rsidP="00000000" w:rsidRDefault="00000000" w:rsidRPr="00000000" w14:paraId="0000013C">
            <w:pPr>
              <w:spacing w:before="240" w:lineRule="auto"/>
              <w:rPr>
                <w:rFonts w:ascii="Arial" w:cs="Arial" w:eastAsia="Arial" w:hAnsi="Arial"/>
                <w:color w:val="374151"/>
                <w:sz w:val="21"/>
                <w:szCs w:val="21"/>
              </w:rPr>
            </w:pPr>
            <w:r w:rsidDel="00000000" w:rsidR="00000000" w:rsidRPr="00000000">
              <w:rPr>
                <w:rtl w:val="0"/>
              </w:rPr>
              <w:t xml:space="preserve">Circolare n.2 del 18 gennaio 2024</w:t>
            </w:r>
            <w:r w:rsidDel="00000000" w:rsidR="00000000" w:rsidRPr="00000000">
              <w:rPr>
                <w:rtl w:val="0"/>
              </w:rPr>
            </w:r>
          </w:p>
        </w:tc>
        <w:tc>
          <w:tcPr/>
          <w:p w:rsidR="00000000" w:rsidDel="00000000" w:rsidP="00000000" w:rsidRDefault="00000000" w:rsidRPr="00000000" w14:paraId="0000013D">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r>
      <w:tr>
        <w:trPr>
          <w:cantSplit w:val="0"/>
          <w:tblHeader w:val="0"/>
        </w:trPr>
        <w:tc>
          <w:tcPr/>
          <w:p w:rsidR="00000000" w:rsidDel="00000000" w:rsidP="00000000" w:rsidRDefault="00000000" w:rsidRPr="00000000" w14:paraId="0000013E">
            <w:pPr>
              <w:spacing w:before="240" w:lineRule="auto"/>
              <w:rPr>
                <w:rFonts w:ascii="Times New Roman" w:cs="Times New Roman" w:eastAsia="Times New Roman" w:hAnsi="Times New Roman"/>
              </w:rPr>
            </w:pPr>
            <w:r w:rsidDel="00000000" w:rsidR="00000000" w:rsidRPr="00000000">
              <w:rPr>
                <w:rFonts w:ascii="Arial" w:cs="Arial" w:eastAsia="Arial" w:hAnsi="Arial"/>
                <w:b w:val="1"/>
                <w:bCs w:val="1"/>
                <w:color w:val="374151"/>
                <w:sz w:val="21"/>
                <w:szCs w:val="21"/>
                <w:rtl w:val="0"/>
              </w:rPr>
              <w:t xml:space="preserve">2022</w:t>
            </w:r>
            <w:r w:rsidDel="00000000" w:rsidR="00000000" w:rsidRPr="00000000">
              <w:rPr>
                <w:rtl w:val="0"/>
              </w:rPr>
            </w:r>
          </w:p>
        </w:tc>
        <w:tc>
          <w:tcPr/>
          <w:p w:rsidR="00000000" w:rsidDel="00000000" w:rsidP="00000000" w:rsidRDefault="00000000" w:rsidRPr="00000000" w14:paraId="0000013F">
            <w:pPr>
              <w:spacing w:before="240" w:lineRule="auto"/>
              <w:rPr>
                <w:rFonts w:ascii="Times New Roman" w:cs="Times New Roman" w:eastAsia="Times New Roman" w:hAnsi="Times New Roman"/>
              </w:rPr>
            </w:pPr>
            <w:hyperlink r:id="rId45">
              <w:r w:rsidDel="00000000" w:rsidR="00000000" w:rsidRPr="00000000">
                <w:rPr>
                  <w:rFonts w:ascii="Arial" w:cs="Arial" w:eastAsia="Arial" w:hAnsi="Arial"/>
                  <w:color w:val="0563c1"/>
                  <w:sz w:val="21"/>
                  <w:szCs w:val="21"/>
                  <w:u w:val="single"/>
                  <w:rtl w:val="0"/>
                </w:rPr>
                <w:t xml:space="preserve">14 giugno 2022, n. 26</w:t>
              </w:r>
            </w:hyperlink>
            <w:r w:rsidDel="00000000" w:rsidR="00000000" w:rsidRPr="00000000">
              <w:rPr>
                <w:rtl w:val="0"/>
              </w:rPr>
            </w:r>
          </w:p>
        </w:tc>
        <w:tc>
          <w:tcPr/>
          <w:p w:rsidR="00000000" w:rsidDel="00000000" w:rsidP="00000000" w:rsidRDefault="00000000" w:rsidRPr="00000000" w14:paraId="00000140">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PNRR - Rendicontazione Milestone/Target connessi alla seconda “Richiesta di pagamento” alla C.E. prevista per il 28 giugno p.v.</w:t>
            </w:r>
          </w:p>
        </w:tc>
        <w:tc>
          <w:tcPr/>
          <w:p w:rsidR="00000000" w:rsidDel="00000000" w:rsidP="00000000" w:rsidRDefault="00000000" w:rsidRPr="00000000" w14:paraId="00000141">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Le attività di rendicontazione su “ReGiS”, connesse ai 45 milestone/target con scadenza a T1 e T2 2022, dovranno essere concluse entro e non oltre il 24 giugno p.v.</w:t>
            </w:r>
            <w:r w:rsidDel="00000000" w:rsidR="00000000" w:rsidRPr="00000000">
              <w:rPr>
                <w:rtl w:val="0"/>
              </w:rPr>
            </w:r>
          </w:p>
          <w:p w:rsidR="00000000" w:rsidDel="00000000" w:rsidP="00000000" w:rsidRDefault="00000000" w:rsidRPr="00000000" w14:paraId="00000142">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Le Amministrazioni attraverso la funzionalità “Avanzamento M&amp;T” di “ReGiS”, dovranno provvedere, in ragione di ogni singolo milestone/target di rispettiva competenza, al caricamento all’interno della sezione "Documenti rendicontativi" del Report di avanzamento M&amp;T, della documentazione a comprova del conseguimento (evidence), della Check-list di verifica ed infine della Dichiarazione di gestione. Infine attraverso la funzionalità “Consuntivazione M&amp;T” di “ ReGiS” occorrerà, per ciascun milestone/target, confermare il contenuto delle informazioni e della suddetta documentazione.</w:t>
            </w:r>
            <w:r w:rsidDel="00000000" w:rsidR="00000000" w:rsidRPr="00000000">
              <w:rPr>
                <w:rtl w:val="0"/>
              </w:rPr>
            </w:r>
          </w:p>
        </w:tc>
        <w:tc>
          <w:tcPr/>
          <w:p w:rsidR="00000000" w:rsidDel="00000000" w:rsidP="00000000" w:rsidRDefault="00000000" w:rsidRPr="00000000" w14:paraId="00000143">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c>
          <w:tcPr/>
          <w:p w:rsidR="00000000" w:rsidDel="00000000" w:rsidP="00000000" w:rsidRDefault="00000000" w:rsidRPr="00000000" w14:paraId="00000144">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r>
      <w:tr>
        <w:trPr>
          <w:cantSplit w:val="0"/>
          <w:tblHeader w:val="0"/>
        </w:trPr>
        <w:tc>
          <w:tcPr/>
          <w:p w:rsidR="00000000" w:rsidDel="00000000" w:rsidP="00000000" w:rsidRDefault="00000000" w:rsidRPr="00000000" w14:paraId="00000145">
            <w:pPr>
              <w:spacing w:before="240" w:lineRule="auto"/>
              <w:rPr>
                <w:rFonts w:ascii="Times New Roman" w:cs="Times New Roman" w:eastAsia="Times New Roman" w:hAnsi="Times New Roman"/>
              </w:rPr>
            </w:pPr>
            <w:r w:rsidDel="00000000" w:rsidR="00000000" w:rsidRPr="00000000">
              <w:rPr>
                <w:rFonts w:ascii="Arial" w:cs="Arial" w:eastAsia="Arial" w:hAnsi="Arial"/>
                <w:b w:val="1"/>
                <w:bCs w:val="1"/>
                <w:color w:val="374151"/>
                <w:sz w:val="21"/>
                <w:szCs w:val="21"/>
                <w:rtl w:val="0"/>
              </w:rPr>
              <w:t xml:space="preserve">2022</w:t>
            </w:r>
            <w:r w:rsidDel="00000000" w:rsidR="00000000" w:rsidRPr="00000000">
              <w:rPr>
                <w:rtl w:val="0"/>
              </w:rPr>
            </w:r>
          </w:p>
        </w:tc>
        <w:tc>
          <w:tcPr/>
          <w:p w:rsidR="00000000" w:rsidDel="00000000" w:rsidP="00000000" w:rsidRDefault="00000000" w:rsidRPr="00000000" w14:paraId="00000146">
            <w:pPr>
              <w:spacing w:before="240" w:lineRule="auto"/>
              <w:rPr>
                <w:rFonts w:ascii="Times New Roman" w:cs="Times New Roman" w:eastAsia="Times New Roman" w:hAnsi="Times New Roman"/>
              </w:rPr>
            </w:pPr>
            <w:hyperlink r:id="rId46">
              <w:r w:rsidDel="00000000" w:rsidR="00000000" w:rsidRPr="00000000">
                <w:rPr>
                  <w:rFonts w:ascii="Arial" w:cs="Arial" w:eastAsia="Arial" w:hAnsi="Arial"/>
                  <w:color w:val="0563c1"/>
                  <w:sz w:val="21"/>
                  <w:szCs w:val="21"/>
                  <w:u w:val="single"/>
                  <w:rtl w:val="0"/>
                </w:rPr>
                <w:t xml:space="preserve">29 aprile 2022, n. 21</w:t>
              </w:r>
            </w:hyperlink>
            <w:r w:rsidDel="00000000" w:rsidR="00000000" w:rsidRPr="00000000">
              <w:rPr>
                <w:rtl w:val="0"/>
              </w:rPr>
            </w:r>
          </w:p>
        </w:tc>
        <w:tc>
          <w:tcPr/>
          <w:p w:rsidR="00000000" w:rsidDel="00000000" w:rsidP="00000000" w:rsidRDefault="00000000" w:rsidRPr="00000000" w14:paraId="00000147">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Piano nazionale di ripresa e resilienza (PNRR) e Piano nazionale per gli investimenti complementari - Chiarimenti in relazione al riferimento alla disciplina nazionale in materia di contratti pubblici richiamata nei dispositivi attuativi relativi agli interventi PNRR e PNC.</w:t>
            </w:r>
          </w:p>
        </w:tc>
        <w:tc>
          <w:tcPr/>
          <w:p w:rsidR="00000000" w:rsidDel="00000000" w:rsidP="00000000" w:rsidRDefault="00000000" w:rsidRPr="00000000" w14:paraId="00000148">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La Circolare intende chiarire che i riferimenti alla disciplina nazionale in materia di contratti pubblici (D. Lgs. 50/2016) contenuti all’interno delle “Istruzioni Tecniche per la selezione dei progetti PNRR” allegato alla Circolare MEF-RGS del 14 ottobre 2021, n. 21, intendono ricomprendere il complesso della normativa vigente, ivi comprese le disposizioni emanate da parte delle Autonomie territoriali, incluse le Province Autonome di Trento e Bolzano, per le quali è lo stesso decreto legislativo, all’articolo 2, comma 3, ad operare un esplicito rimando.</w:t>
            </w:r>
            <w:r w:rsidDel="00000000" w:rsidR="00000000" w:rsidRPr="00000000">
              <w:rPr>
                <w:rtl w:val="0"/>
              </w:rPr>
            </w:r>
          </w:p>
        </w:tc>
        <w:tc>
          <w:tcPr/>
          <w:p w:rsidR="00000000" w:rsidDel="00000000" w:rsidP="00000000" w:rsidRDefault="00000000" w:rsidRPr="00000000" w14:paraId="00000149">
            <w:pPr>
              <w:spacing w:before="240"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Circolare n. 21 del 14 ottobre 2021</w:t>
            </w:r>
          </w:p>
        </w:tc>
        <w:tc>
          <w:tcPr/>
          <w:p w:rsidR="00000000" w:rsidDel="00000000" w:rsidP="00000000" w:rsidRDefault="00000000" w:rsidRPr="00000000" w14:paraId="0000014A">
            <w:pPr>
              <w:spacing w:before="240"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Nessuna</w:t>
            </w:r>
          </w:p>
        </w:tc>
      </w:tr>
      <w:tr>
        <w:trPr>
          <w:cantSplit w:val="0"/>
          <w:tblHeader w:val="0"/>
        </w:trPr>
        <w:tc>
          <w:tcPr/>
          <w:p w:rsidR="00000000" w:rsidDel="00000000" w:rsidP="00000000" w:rsidRDefault="00000000" w:rsidRPr="00000000" w14:paraId="0000014B">
            <w:pPr>
              <w:spacing w:before="240" w:lineRule="auto"/>
              <w:rPr>
                <w:rFonts w:ascii="Times New Roman" w:cs="Times New Roman" w:eastAsia="Times New Roman" w:hAnsi="Times New Roman"/>
              </w:rPr>
            </w:pPr>
            <w:r w:rsidDel="00000000" w:rsidR="00000000" w:rsidRPr="00000000">
              <w:rPr>
                <w:rFonts w:ascii="Arial" w:cs="Arial" w:eastAsia="Arial" w:hAnsi="Arial"/>
                <w:b w:val="1"/>
                <w:bCs w:val="1"/>
                <w:color w:val="374151"/>
                <w:sz w:val="21"/>
                <w:szCs w:val="21"/>
                <w:rtl w:val="0"/>
              </w:rPr>
              <w:t xml:space="preserve">2022</w:t>
            </w:r>
            <w:r w:rsidDel="00000000" w:rsidR="00000000" w:rsidRPr="00000000">
              <w:rPr>
                <w:rtl w:val="0"/>
              </w:rPr>
            </w:r>
          </w:p>
        </w:tc>
        <w:tc>
          <w:tcPr/>
          <w:p w:rsidR="00000000" w:rsidDel="00000000" w:rsidP="00000000" w:rsidRDefault="00000000" w:rsidRPr="00000000" w14:paraId="0000014C">
            <w:pPr>
              <w:spacing w:before="240" w:lineRule="auto"/>
              <w:rPr>
                <w:rFonts w:ascii="Times New Roman" w:cs="Times New Roman" w:eastAsia="Times New Roman" w:hAnsi="Times New Roman"/>
              </w:rPr>
            </w:pPr>
            <w:hyperlink r:id="rId47">
              <w:r w:rsidDel="00000000" w:rsidR="00000000" w:rsidRPr="00000000">
                <w:rPr>
                  <w:rFonts w:ascii="Arial" w:cs="Arial" w:eastAsia="Arial" w:hAnsi="Arial"/>
                  <w:color w:val="0563c1"/>
                  <w:sz w:val="21"/>
                  <w:szCs w:val="21"/>
                  <w:u w:val="single"/>
                  <w:rtl w:val="0"/>
                </w:rPr>
                <w:t xml:space="preserve">10 febbraio 2022, n. 9</w:t>
              </w:r>
            </w:hyperlink>
            <w:r w:rsidDel="00000000" w:rsidR="00000000" w:rsidRPr="00000000">
              <w:rPr>
                <w:rtl w:val="0"/>
              </w:rPr>
            </w:r>
          </w:p>
        </w:tc>
        <w:tc>
          <w:tcPr/>
          <w:p w:rsidR="00000000" w:rsidDel="00000000" w:rsidP="00000000" w:rsidRDefault="00000000" w:rsidRPr="00000000" w14:paraId="0000014D">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Piano Nazionale di Ripresa e Resilienza (PNRR) – Trasmissione delle Istruzioni tecniche per la redazione dei sistemi di gestione e controllo delle amministrazioni centrali titolari di interventi del PNRR.</w:t>
            </w:r>
          </w:p>
        </w:tc>
        <w:tc>
          <w:tcPr/>
          <w:p w:rsidR="00000000" w:rsidDel="00000000" w:rsidP="00000000" w:rsidRDefault="00000000" w:rsidRPr="00000000" w14:paraId="0000014E">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Ai sensi di quanto disposto dall’art. 8 del decreto legge n. 77/2021, convertito con legge n. 108/2021, ciascuna Amministrazione centrale titolare di interventi previsti nel PNRR è tenuta a provvedere al coordinamento delle relative attività di gestione, nonché al monitoraggio, rendicontazione e controllo degli investimenti e riforme di pertinenza, in tale ottica, dovrà quindi dotarsi di un adeguato sistema di gestione e controllo, con l’inclusione di misure finalizzate alla prevenzione, l’individuazione e la rettifica delle frodi, dei casi di corruzione e dei conflitti di interessi e della duplicazione dei finanziamenti. La circolare intende fornire informazioni ed elementi utili per una corretta impostazione dell’assetto organizzativo e procedurale; la seconda parte del documento contiene, in aggiunta, allegati tecnici e operativi utili per l’elaborazione del documento descrittivo del Sistema di Gestione e Controllo.</w:t>
            </w:r>
            <w:r w:rsidDel="00000000" w:rsidR="00000000" w:rsidRPr="00000000">
              <w:rPr>
                <w:rtl w:val="0"/>
              </w:rPr>
            </w:r>
          </w:p>
        </w:tc>
        <w:tc>
          <w:tcPr/>
          <w:p w:rsidR="00000000" w:rsidDel="00000000" w:rsidP="00000000" w:rsidRDefault="00000000" w:rsidRPr="00000000" w14:paraId="0000014F">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c>
          <w:tcPr/>
          <w:p w:rsidR="00000000" w:rsidDel="00000000" w:rsidP="00000000" w:rsidRDefault="00000000" w:rsidRPr="00000000" w14:paraId="00000150">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r>
      <w:tr>
        <w:trPr>
          <w:cantSplit w:val="0"/>
          <w:tblHeader w:val="0"/>
        </w:trPr>
        <w:tc>
          <w:tcPr/>
          <w:p w:rsidR="00000000" w:rsidDel="00000000" w:rsidP="00000000" w:rsidRDefault="00000000" w:rsidRPr="00000000" w14:paraId="00000151">
            <w:pPr>
              <w:spacing w:before="240" w:lineRule="auto"/>
              <w:rPr>
                <w:rFonts w:ascii="Times New Roman" w:cs="Times New Roman" w:eastAsia="Times New Roman" w:hAnsi="Times New Roman"/>
              </w:rPr>
            </w:pPr>
            <w:r w:rsidDel="00000000" w:rsidR="00000000" w:rsidRPr="00000000">
              <w:rPr>
                <w:rFonts w:ascii="Arial" w:cs="Arial" w:eastAsia="Arial" w:hAnsi="Arial"/>
                <w:b w:val="1"/>
                <w:bCs w:val="1"/>
                <w:color w:val="374151"/>
                <w:sz w:val="21"/>
                <w:szCs w:val="21"/>
                <w:rtl w:val="0"/>
              </w:rPr>
              <w:t xml:space="preserve">2022</w:t>
            </w:r>
            <w:r w:rsidDel="00000000" w:rsidR="00000000" w:rsidRPr="00000000">
              <w:rPr>
                <w:rtl w:val="0"/>
              </w:rPr>
            </w:r>
          </w:p>
        </w:tc>
        <w:tc>
          <w:tcPr/>
          <w:p w:rsidR="00000000" w:rsidDel="00000000" w:rsidP="00000000" w:rsidRDefault="00000000" w:rsidRPr="00000000" w14:paraId="00000152">
            <w:pPr>
              <w:spacing w:before="240" w:lineRule="auto"/>
              <w:rPr>
                <w:rFonts w:ascii="Times New Roman" w:cs="Times New Roman" w:eastAsia="Times New Roman" w:hAnsi="Times New Roman"/>
              </w:rPr>
            </w:pPr>
            <w:hyperlink r:id="rId48">
              <w:r w:rsidDel="00000000" w:rsidR="00000000" w:rsidRPr="00000000">
                <w:rPr>
                  <w:rFonts w:ascii="Arial" w:cs="Arial" w:eastAsia="Arial" w:hAnsi="Arial"/>
                  <w:color w:val="0563c1"/>
                  <w:sz w:val="21"/>
                  <w:szCs w:val="21"/>
                  <w:u w:val="single"/>
                  <w:rtl w:val="0"/>
                </w:rPr>
                <w:t xml:space="preserve">24 gennaio 2022, n. 6</w:t>
              </w:r>
            </w:hyperlink>
            <w:r w:rsidDel="00000000" w:rsidR="00000000" w:rsidRPr="00000000">
              <w:rPr>
                <w:rtl w:val="0"/>
              </w:rPr>
            </w:r>
          </w:p>
        </w:tc>
        <w:tc>
          <w:tcPr/>
          <w:p w:rsidR="00000000" w:rsidDel="00000000" w:rsidP="00000000" w:rsidRDefault="00000000" w:rsidRPr="00000000" w14:paraId="00000153">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Piano Nazionale di Ripresa e Resilienza (PNRR) – Servizi di assistenza tecnica per le Amministrazioni titolari di interventi e soggetti attuatori del PNRR</w:t>
            </w:r>
          </w:p>
        </w:tc>
        <w:tc>
          <w:tcPr/>
          <w:p w:rsidR="00000000" w:rsidDel="00000000" w:rsidP="00000000" w:rsidRDefault="00000000" w:rsidRPr="00000000" w14:paraId="00000154">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In base a quanto previsto dall’art. 9, comma 2, del D.L. 31 maggio 2021, n. 77, convertito in Legge 29 luglio 2021, n. 108, al fine di assicurare l’efficace e tempestiva attuazione degli interventi del PNRR, le amministrazioni possono avvalersi del supporto tecnico-operativo assicurato da società a prevalente partecipazione pubblica, rispettivamente, statale, regionale e locale e da enti vigilati. In tale ambito, è prevista l’attivazione di una serie di azioni di rafforzamento amministrativo (assistenza tecnica e supporto operativo all’attuazione dei progetti PNRR), di cui beneficeranno sia le amministrazioni centrali titolari di interventi PNRR, sia le amministrazioni territoriali responsabili dell’attuazione dei singoli progetti sulla base di piani di attività annuali. Al fine di garantire la rapida finalizzazione dei Piani delle Attività per il 2022, ciascuna Amministrazione centrale titolare di interventi del PNRR è tenuta ad inviare formalmente, con le modalità descritte in circolare apposita richiesta al Ministero dell’economia e delle finanze – Dipartimento della Ragioneria generale dello Stato – Servizio centrale per il PNRR – Ufficio II corredata del modello allegato (“Format richiesta di attivazione assistenza tecnica”) appositamente compilato.</w:t>
            </w:r>
            <w:r w:rsidDel="00000000" w:rsidR="00000000" w:rsidRPr="00000000">
              <w:rPr>
                <w:rtl w:val="0"/>
              </w:rPr>
            </w:r>
          </w:p>
        </w:tc>
        <w:tc>
          <w:tcPr/>
          <w:p w:rsidR="00000000" w:rsidDel="00000000" w:rsidP="00000000" w:rsidRDefault="00000000" w:rsidRPr="00000000" w14:paraId="00000155">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c>
          <w:tcPr/>
          <w:p w:rsidR="00000000" w:rsidDel="00000000" w:rsidP="00000000" w:rsidRDefault="00000000" w:rsidRPr="00000000" w14:paraId="00000156">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r>
      <w:tr>
        <w:trPr>
          <w:cantSplit w:val="0"/>
          <w:tblHeader w:val="0"/>
        </w:trPr>
        <w:tc>
          <w:tcPr/>
          <w:p w:rsidR="00000000" w:rsidDel="00000000" w:rsidP="00000000" w:rsidRDefault="00000000" w:rsidRPr="00000000" w14:paraId="00000157">
            <w:pPr>
              <w:spacing w:before="240" w:lineRule="auto"/>
              <w:rPr>
                <w:rFonts w:ascii="Times New Roman" w:cs="Times New Roman" w:eastAsia="Times New Roman" w:hAnsi="Times New Roman"/>
              </w:rPr>
            </w:pPr>
            <w:r w:rsidDel="00000000" w:rsidR="00000000" w:rsidRPr="00000000">
              <w:rPr>
                <w:rFonts w:ascii="Arial" w:cs="Arial" w:eastAsia="Arial" w:hAnsi="Arial"/>
                <w:b w:val="1"/>
                <w:bCs w:val="1"/>
                <w:color w:val="374151"/>
                <w:sz w:val="21"/>
                <w:szCs w:val="21"/>
                <w:rtl w:val="0"/>
              </w:rPr>
              <w:t xml:space="preserve">2022</w:t>
            </w:r>
            <w:r w:rsidDel="00000000" w:rsidR="00000000" w:rsidRPr="00000000">
              <w:rPr>
                <w:rtl w:val="0"/>
              </w:rPr>
            </w:r>
          </w:p>
        </w:tc>
        <w:tc>
          <w:tcPr/>
          <w:p w:rsidR="00000000" w:rsidDel="00000000" w:rsidP="00000000" w:rsidRDefault="00000000" w:rsidRPr="00000000" w14:paraId="00000158">
            <w:pPr>
              <w:spacing w:before="240" w:lineRule="auto"/>
              <w:rPr>
                <w:rFonts w:ascii="Times New Roman" w:cs="Times New Roman" w:eastAsia="Times New Roman" w:hAnsi="Times New Roman"/>
              </w:rPr>
            </w:pPr>
            <w:hyperlink r:id="rId49">
              <w:r w:rsidDel="00000000" w:rsidR="00000000" w:rsidRPr="00000000">
                <w:rPr>
                  <w:rFonts w:ascii="Arial" w:cs="Arial" w:eastAsia="Arial" w:hAnsi="Arial"/>
                  <w:color w:val="0563c1"/>
                  <w:sz w:val="21"/>
                  <w:szCs w:val="21"/>
                  <w:u w:val="single"/>
                  <w:rtl w:val="0"/>
                </w:rPr>
                <w:t xml:space="preserve">Circolare del 18 gennaio 2022, n. 4</w:t>
              </w:r>
            </w:hyperlink>
            <w:r w:rsidDel="00000000" w:rsidR="00000000" w:rsidRPr="00000000">
              <w:rPr>
                <w:rtl w:val="0"/>
              </w:rPr>
            </w:r>
          </w:p>
        </w:tc>
        <w:tc>
          <w:tcPr/>
          <w:p w:rsidR="00000000" w:rsidDel="00000000" w:rsidP="00000000" w:rsidRDefault="00000000" w:rsidRPr="00000000" w14:paraId="00000159">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Piano Nazionale di Ripresa e Resilienza (PNRR) – articolo 1, comma 1 del decreto-legge n. 80 del 2021 - Indicazioni attuative.</w:t>
            </w:r>
          </w:p>
        </w:tc>
        <w:tc>
          <w:tcPr/>
          <w:p w:rsidR="00000000" w:rsidDel="00000000" w:rsidP="00000000" w:rsidRDefault="00000000" w:rsidRPr="00000000" w14:paraId="0000015A">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In adempimento a quanto previsto dal comma 1 dell'art. 1 del decreto-legge n. 80 del 2021, la  circolare intende chiarire alle Amministrazioni titolari dei singoli interventi le modalità, le condizioni e i criteri in base ai quali le stesse possono imputare nel relativo quadro economico i costi per il personale da rendicontare a carico del PNRR per attività specificatamente destinate a realizzare i singoli progetti a titolarità.</w:t>
            </w:r>
            <w:r w:rsidDel="00000000" w:rsidR="00000000" w:rsidRPr="00000000">
              <w:rPr>
                <w:rtl w:val="0"/>
              </w:rPr>
            </w:r>
          </w:p>
        </w:tc>
        <w:tc>
          <w:tcPr/>
          <w:p w:rsidR="00000000" w:rsidDel="00000000" w:rsidP="00000000" w:rsidRDefault="00000000" w:rsidRPr="00000000" w14:paraId="0000015B">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c>
          <w:tcPr/>
          <w:p w:rsidR="00000000" w:rsidDel="00000000" w:rsidP="00000000" w:rsidRDefault="00000000" w:rsidRPr="00000000" w14:paraId="0000015C">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r>
      <w:tr>
        <w:trPr>
          <w:cantSplit w:val="0"/>
          <w:tblHeader w:val="0"/>
        </w:trPr>
        <w:tc>
          <w:tcPr/>
          <w:p w:rsidR="00000000" w:rsidDel="00000000" w:rsidP="00000000" w:rsidRDefault="00000000" w:rsidRPr="00000000" w14:paraId="0000015D">
            <w:pPr>
              <w:spacing w:before="240" w:lineRule="auto"/>
              <w:rPr>
                <w:rFonts w:ascii="Times New Roman" w:cs="Times New Roman" w:eastAsia="Times New Roman" w:hAnsi="Times New Roman"/>
              </w:rPr>
            </w:pPr>
            <w:r w:rsidDel="00000000" w:rsidR="00000000" w:rsidRPr="00000000">
              <w:rPr>
                <w:rFonts w:ascii="Arial" w:cs="Arial" w:eastAsia="Arial" w:hAnsi="Arial"/>
                <w:b w:val="1"/>
                <w:bCs w:val="1"/>
                <w:color w:val="374151"/>
                <w:sz w:val="21"/>
                <w:szCs w:val="21"/>
                <w:rtl w:val="0"/>
              </w:rPr>
              <w:t xml:space="preserve">2021</w:t>
            </w:r>
            <w:r w:rsidDel="00000000" w:rsidR="00000000" w:rsidRPr="00000000">
              <w:rPr>
                <w:rtl w:val="0"/>
              </w:rPr>
            </w:r>
          </w:p>
        </w:tc>
        <w:tc>
          <w:tcPr/>
          <w:p w:rsidR="00000000" w:rsidDel="00000000" w:rsidP="00000000" w:rsidRDefault="00000000" w:rsidRPr="00000000" w14:paraId="0000015E">
            <w:pPr>
              <w:spacing w:before="240" w:lineRule="auto"/>
              <w:rPr>
                <w:rFonts w:ascii="Times New Roman" w:cs="Times New Roman" w:eastAsia="Times New Roman" w:hAnsi="Times New Roman"/>
              </w:rPr>
            </w:pPr>
            <w:hyperlink r:id="rId50">
              <w:r w:rsidDel="00000000" w:rsidR="00000000" w:rsidRPr="00000000">
                <w:rPr>
                  <w:rFonts w:ascii="Arial" w:cs="Arial" w:eastAsia="Arial" w:hAnsi="Arial"/>
                  <w:color w:val="0563c1"/>
                  <w:sz w:val="21"/>
                  <w:szCs w:val="21"/>
                  <w:u w:val="single"/>
                  <w:rtl w:val="0"/>
                </w:rPr>
                <w:t xml:space="preserve">31 dicembre 2021, n. 33</w:t>
              </w:r>
            </w:hyperlink>
            <w:r w:rsidDel="00000000" w:rsidR="00000000" w:rsidRPr="00000000">
              <w:rPr>
                <w:rtl w:val="0"/>
              </w:rPr>
            </w:r>
          </w:p>
        </w:tc>
        <w:tc>
          <w:tcPr/>
          <w:p w:rsidR="00000000" w:rsidDel="00000000" w:rsidP="00000000" w:rsidRDefault="00000000" w:rsidRPr="00000000" w14:paraId="0000015F">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PNRR – Nota di chiarimento sulla Circolare del 14 ottobre 2021, n. 21 - Trasmissione delle Istruzioni Tecniche per la selezione dei progetti PNRR – Addizionalità, finanziamento complementare e obbligo di assenza del c.d. doppio finanziamento.</w:t>
            </w:r>
          </w:p>
        </w:tc>
        <w:tc>
          <w:tcPr/>
          <w:p w:rsidR="00000000" w:rsidDel="00000000" w:rsidP="00000000" w:rsidRDefault="00000000" w:rsidRPr="00000000" w14:paraId="00000160">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In risposta ad alcune richieste di parere pervenute, la circolare intende fornire specifici chiarimenti in relazione ai concetti di doppio finanziamento e di cumulo delle misure agevolative, al fine di scongiurare dubbi ed incertezze nell’attuazione degli interventi previsti all’interno del PNRR e finanziati dal Dispositivo per la ripresa e la resilienza (RRF), istituito con Regolamento (UE) 2021/241.</w:t>
            </w:r>
            <w:r w:rsidDel="00000000" w:rsidR="00000000" w:rsidRPr="00000000">
              <w:rPr>
                <w:rtl w:val="0"/>
              </w:rPr>
            </w:r>
          </w:p>
          <w:p w:rsidR="00000000" w:rsidDel="00000000" w:rsidP="00000000" w:rsidRDefault="00000000" w:rsidRPr="00000000" w14:paraId="00000161">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Fatto salvo il divieto di doppio finanziamento, in conformità ai principi immanenti nell’ordinamento domestico volti a non consentire l’indebito arricchimento a carico delle finanze pubbliche la circolare conferma che le misure finanziate all'interno del PNRR possono essere cumulate con altre agevolazioni, salvo ovviamente i limiti esistenti dalla normativa nazionale ed europea vigente, ivi compresa quella riferita agli aiuti di stato.</w:t>
            </w:r>
            <w:r w:rsidDel="00000000" w:rsidR="00000000" w:rsidRPr="00000000">
              <w:rPr>
                <w:rtl w:val="0"/>
              </w:rPr>
            </w:r>
          </w:p>
        </w:tc>
        <w:tc>
          <w:tcPr/>
          <w:p w:rsidR="00000000" w:rsidDel="00000000" w:rsidP="00000000" w:rsidRDefault="00000000" w:rsidRPr="00000000" w14:paraId="00000162">
            <w:pPr>
              <w:spacing w:before="240"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Circolare n.21 del 14 ottobre 2021</w:t>
            </w:r>
          </w:p>
        </w:tc>
        <w:tc>
          <w:tcPr/>
          <w:p w:rsidR="00000000" w:rsidDel="00000000" w:rsidP="00000000" w:rsidRDefault="00000000" w:rsidRPr="00000000" w14:paraId="00000163">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r>
      <w:tr>
        <w:trPr>
          <w:cantSplit w:val="0"/>
          <w:tblHeader w:val="0"/>
        </w:trPr>
        <w:tc>
          <w:tcPr/>
          <w:p w:rsidR="00000000" w:rsidDel="00000000" w:rsidP="00000000" w:rsidRDefault="00000000" w:rsidRPr="00000000" w14:paraId="00000164">
            <w:pPr>
              <w:spacing w:before="240" w:lineRule="auto"/>
              <w:rPr>
                <w:rFonts w:ascii="Times New Roman" w:cs="Times New Roman" w:eastAsia="Times New Roman" w:hAnsi="Times New Roman"/>
              </w:rPr>
            </w:pPr>
            <w:r w:rsidDel="00000000" w:rsidR="00000000" w:rsidRPr="00000000">
              <w:rPr>
                <w:rFonts w:ascii="Arial" w:cs="Arial" w:eastAsia="Arial" w:hAnsi="Arial"/>
                <w:b w:val="1"/>
                <w:bCs w:val="1"/>
                <w:color w:val="374151"/>
                <w:sz w:val="21"/>
                <w:szCs w:val="21"/>
                <w:rtl w:val="0"/>
              </w:rPr>
              <w:t xml:space="preserve">2021</w:t>
            </w:r>
            <w:r w:rsidDel="00000000" w:rsidR="00000000" w:rsidRPr="00000000">
              <w:rPr>
                <w:rtl w:val="0"/>
              </w:rPr>
            </w:r>
          </w:p>
        </w:tc>
        <w:tc>
          <w:tcPr/>
          <w:p w:rsidR="00000000" w:rsidDel="00000000" w:rsidP="00000000" w:rsidRDefault="00000000" w:rsidRPr="00000000" w14:paraId="00000165">
            <w:pPr>
              <w:spacing w:before="240" w:lineRule="auto"/>
              <w:rPr>
                <w:rFonts w:ascii="Times New Roman" w:cs="Times New Roman" w:eastAsia="Times New Roman" w:hAnsi="Times New Roman"/>
              </w:rPr>
            </w:pPr>
            <w:hyperlink r:id="rId51">
              <w:r w:rsidDel="00000000" w:rsidR="00000000" w:rsidRPr="00000000">
                <w:rPr>
                  <w:rFonts w:ascii="Arial" w:cs="Arial" w:eastAsia="Arial" w:hAnsi="Arial"/>
                  <w:color w:val="0563c1"/>
                  <w:sz w:val="21"/>
                  <w:szCs w:val="21"/>
                  <w:u w:val="single"/>
                  <w:rtl w:val="0"/>
                </w:rPr>
                <w:t xml:space="preserve">30 dicembre 2021, n. 32</w:t>
              </w:r>
            </w:hyperlink>
            <w:r w:rsidDel="00000000" w:rsidR="00000000" w:rsidRPr="00000000">
              <w:rPr>
                <w:rtl w:val="0"/>
              </w:rPr>
            </w:r>
          </w:p>
        </w:tc>
        <w:tc>
          <w:tcPr/>
          <w:p w:rsidR="00000000" w:rsidDel="00000000" w:rsidP="00000000" w:rsidRDefault="00000000" w:rsidRPr="00000000" w14:paraId="00000166">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PNRR – Guida operativa per il rispetto del principio di non arrecare danno significativo all’ambiente (DNSH)</w:t>
            </w:r>
          </w:p>
        </w:tc>
        <w:tc>
          <w:tcPr/>
          <w:p w:rsidR="00000000" w:rsidDel="00000000" w:rsidP="00000000" w:rsidRDefault="00000000" w:rsidRPr="00000000" w14:paraId="00000167">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Il Dispositivo per la ripresa e la resilienza (Regolamento UE 241/2021) stabilisce all’articolo 18 che tutte le misure dei Piani nazionali per la ripresa e resilienza (PNRR), sia riforme che investimenti, debbano soddisfare il principio di “non arrecare danno significativo agli obiettivi ambientali”. Tale vincolo si traduce in una valutazione di conformità degli interventi al principio del “Do No Significant Harm” (DNSH), con riferimento al sistema di tassonomia delle attività ecosostenibili, di cui all’articolo 17 del Regolamento (UE) 2020/852 ex-ante, in itinere e ex-post. In fase di predisposizione del PNRR, l’Amministrazione titolare della misura ha effettuato una auto-valutazione, che ha condizionato il disegno degli investimenti e delle riforme e/o qualificato le loro caratteristiche con specifiche indicazioni tese a contenerne il potenziale effetto sugli obiettivi ambientali ad un livello sostenibile. Al fine assistere le Amministrazioni titolari di misure e i Soggetti attuatori degli interventi nel processo di indirizzo e nella raccolta di informazioni e verifica per assicurare il rispetto del principio del non arrecare danno significativo all’ambiente, sentito anche il Ministero della transizione ecologica, è stata elaborata la guida operativa per il rispetto del principio di non arrecare danno significativo all’ambiente in allegato alla presente circolare che fornisce indicazioni sui requisiti tassonomici, sulla normativa corrispondente e sugli elementi utili per documentare il rispetto di tali requisiti.</w:t>
            </w:r>
            <w:r w:rsidDel="00000000" w:rsidR="00000000" w:rsidRPr="00000000">
              <w:rPr>
                <w:rtl w:val="0"/>
              </w:rPr>
            </w:r>
          </w:p>
        </w:tc>
        <w:tc>
          <w:tcPr/>
          <w:p w:rsidR="00000000" w:rsidDel="00000000" w:rsidP="00000000" w:rsidRDefault="00000000" w:rsidRPr="00000000" w14:paraId="00000168">
            <w:pPr>
              <w:spacing w:before="240"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Nessuna</w:t>
            </w:r>
          </w:p>
        </w:tc>
        <w:tc>
          <w:tcPr/>
          <w:p w:rsidR="00000000" w:rsidDel="00000000" w:rsidP="00000000" w:rsidRDefault="00000000" w:rsidRPr="00000000" w14:paraId="00000169">
            <w:pPr>
              <w:spacing w:before="240" w:lineRule="auto"/>
              <w:rPr>
                <w:rFonts w:ascii="Arial" w:cs="Arial" w:eastAsia="Arial" w:hAnsi="Arial"/>
                <w:color w:val="374151"/>
                <w:sz w:val="21"/>
                <w:szCs w:val="21"/>
              </w:rPr>
            </w:pPr>
            <w:r w:rsidDel="00000000" w:rsidR="00000000" w:rsidRPr="00000000">
              <w:rPr>
                <w:rtl w:val="0"/>
              </w:rPr>
              <w:t xml:space="preserve">Circolare n. 33 del 13 ottobre 2022 e n. 22 del 14 maggio 2024</w:t>
            </w:r>
            <w:r w:rsidDel="00000000" w:rsidR="00000000" w:rsidRPr="00000000">
              <w:rPr>
                <w:rtl w:val="0"/>
              </w:rPr>
            </w:r>
          </w:p>
        </w:tc>
      </w:tr>
      <w:tr>
        <w:trPr>
          <w:cantSplit w:val="0"/>
          <w:tblHeader w:val="0"/>
        </w:trPr>
        <w:tc>
          <w:tcPr/>
          <w:p w:rsidR="00000000" w:rsidDel="00000000" w:rsidP="00000000" w:rsidRDefault="00000000" w:rsidRPr="00000000" w14:paraId="0000016A">
            <w:pPr>
              <w:spacing w:before="240" w:lineRule="auto"/>
              <w:rPr>
                <w:rFonts w:ascii="Times New Roman" w:cs="Times New Roman" w:eastAsia="Times New Roman" w:hAnsi="Times New Roman"/>
              </w:rPr>
            </w:pPr>
            <w:r w:rsidDel="00000000" w:rsidR="00000000" w:rsidRPr="00000000">
              <w:rPr>
                <w:rFonts w:ascii="Arial" w:cs="Arial" w:eastAsia="Arial" w:hAnsi="Arial"/>
                <w:b w:val="1"/>
                <w:bCs w:val="1"/>
                <w:color w:val="374151"/>
                <w:sz w:val="21"/>
                <w:szCs w:val="21"/>
                <w:rtl w:val="0"/>
              </w:rPr>
              <w:t xml:space="preserve">2021</w:t>
            </w:r>
            <w:r w:rsidDel="00000000" w:rsidR="00000000" w:rsidRPr="00000000">
              <w:rPr>
                <w:rtl w:val="0"/>
              </w:rPr>
            </w:r>
          </w:p>
        </w:tc>
        <w:tc>
          <w:tcPr/>
          <w:p w:rsidR="00000000" w:rsidDel="00000000" w:rsidP="00000000" w:rsidRDefault="00000000" w:rsidRPr="00000000" w14:paraId="0000016B">
            <w:pPr>
              <w:spacing w:before="240" w:lineRule="auto"/>
              <w:rPr>
                <w:rFonts w:ascii="Times New Roman" w:cs="Times New Roman" w:eastAsia="Times New Roman" w:hAnsi="Times New Roman"/>
              </w:rPr>
            </w:pPr>
            <w:hyperlink r:id="rId52">
              <w:r w:rsidDel="00000000" w:rsidR="00000000" w:rsidRPr="00000000">
                <w:rPr>
                  <w:rFonts w:ascii="Arial" w:cs="Arial" w:eastAsia="Arial" w:hAnsi="Arial"/>
                  <w:color w:val="0563c1"/>
                  <w:sz w:val="21"/>
                  <w:szCs w:val="21"/>
                  <w:u w:val="single"/>
                  <w:rtl w:val="0"/>
                </w:rPr>
                <w:t xml:space="preserve">14 dicembre 2021, n. 31</w:t>
              </w:r>
            </w:hyperlink>
            <w:r w:rsidDel="00000000" w:rsidR="00000000" w:rsidRPr="00000000">
              <w:rPr>
                <w:rtl w:val="0"/>
              </w:rPr>
            </w:r>
          </w:p>
        </w:tc>
        <w:tc>
          <w:tcPr/>
          <w:p w:rsidR="00000000" w:rsidDel="00000000" w:rsidP="00000000" w:rsidRDefault="00000000" w:rsidRPr="00000000" w14:paraId="0000016C">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Rendicontazione PNRR al 31.12.2021 - Trasmissione dichiarazione di gestione e check-list relativa a milestone e target</w:t>
            </w:r>
          </w:p>
        </w:tc>
        <w:tc>
          <w:tcPr/>
          <w:p w:rsidR="00000000" w:rsidDel="00000000" w:rsidP="00000000" w:rsidRDefault="00000000" w:rsidRPr="00000000" w14:paraId="0000016D">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Entro il 23 dicembre ciascuna Amministrazione centrale titolare di interventi del PNRR è tenuta ad inviare formalmente, con le modalità descritte in circolare, al Ministero dell’Economia e delle Finanze – Dipartimento della Ragioneria Generale dello Stato – Servizio Centrale per il PNRR la documentazione attestante il conseguimento di milestone e target PNRR di rispettiva competenza, corredata dalle seguenti attestazioni:</w:t>
            </w:r>
            <w:r w:rsidDel="00000000" w:rsidR="00000000" w:rsidRPr="00000000">
              <w:rPr>
                <w:rtl w:val="0"/>
              </w:rPr>
            </w:r>
          </w:p>
          <w:p w:rsidR="00000000" w:rsidDel="00000000" w:rsidP="00000000" w:rsidRDefault="00000000" w:rsidRPr="00000000" w14:paraId="0000016E">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una </w:t>
            </w:r>
            <w:r w:rsidDel="00000000" w:rsidR="00000000" w:rsidRPr="00000000">
              <w:rPr>
                <w:rFonts w:ascii="Arial" w:cs="Arial" w:eastAsia="Arial" w:hAnsi="Arial"/>
                <w:b w:val="1"/>
                <w:bCs w:val="1"/>
                <w:color w:val="374151"/>
                <w:sz w:val="21"/>
                <w:szCs w:val="21"/>
                <w:u w:val="single"/>
                <w:rtl w:val="0"/>
              </w:rPr>
              <w:t xml:space="preserve">dichiarazione</w:t>
            </w:r>
            <w:r w:rsidDel="00000000" w:rsidR="00000000" w:rsidRPr="00000000">
              <w:rPr>
                <w:rFonts w:ascii="Arial" w:cs="Arial" w:eastAsia="Arial" w:hAnsi="Arial"/>
                <w:color w:val="374151"/>
                <w:sz w:val="21"/>
                <w:szCs w:val="21"/>
                <w:rtl w:val="0"/>
              </w:rPr>
              <w:t xml:space="preserve"> di gestione complessiva (Allegato 1);</w:t>
            </w:r>
            <w:r w:rsidDel="00000000" w:rsidR="00000000" w:rsidRPr="00000000">
              <w:rPr>
                <w:rtl w:val="0"/>
              </w:rPr>
            </w:r>
          </w:p>
          <w:p w:rsidR="00000000" w:rsidDel="00000000" w:rsidP="00000000" w:rsidRDefault="00000000" w:rsidRPr="00000000" w14:paraId="0000016F">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una check-list di controllo (Allegato 2) in ragione di singola milestone/target.</w:t>
            </w:r>
            <w:r w:rsidDel="00000000" w:rsidR="00000000" w:rsidRPr="00000000">
              <w:rPr>
                <w:rtl w:val="0"/>
              </w:rPr>
            </w:r>
          </w:p>
          <w:p w:rsidR="00000000" w:rsidDel="00000000" w:rsidP="00000000" w:rsidRDefault="00000000" w:rsidRPr="00000000" w14:paraId="00000170">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Tali documentazioni e attestazioni sono necessarie affinché il Servizio Centrale per il PNRR possa presentare la richiesta di pagamento alla CE per il rimborso della prima rata di contributo del PNRR.</w:t>
            </w:r>
            <w:r w:rsidDel="00000000" w:rsidR="00000000" w:rsidRPr="00000000">
              <w:rPr>
                <w:rtl w:val="0"/>
              </w:rPr>
            </w:r>
          </w:p>
        </w:tc>
        <w:tc>
          <w:tcPr/>
          <w:p w:rsidR="00000000" w:rsidDel="00000000" w:rsidP="00000000" w:rsidRDefault="00000000" w:rsidRPr="00000000" w14:paraId="00000171">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c>
          <w:tcPr/>
          <w:p w:rsidR="00000000" w:rsidDel="00000000" w:rsidP="00000000" w:rsidRDefault="00000000" w:rsidRPr="00000000" w14:paraId="00000172">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r>
      <w:tr>
        <w:trPr>
          <w:cantSplit w:val="0"/>
          <w:tblHeader w:val="0"/>
        </w:trPr>
        <w:tc>
          <w:tcPr/>
          <w:p w:rsidR="00000000" w:rsidDel="00000000" w:rsidP="00000000" w:rsidRDefault="00000000" w:rsidRPr="00000000" w14:paraId="00000173">
            <w:pPr>
              <w:spacing w:before="240" w:lineRule="auto"/>
              <w:rPr>
                <w:rFonts w:ascii="Times New Roman" w:cs="Times New Roman" w:eastAsia="Times New Roman" w:hAnsi="Times New Roman"/>
              </w:rPr>
            </w:pPr>
            <w:r w:rsidDel="00000000" w:rsidR="00000000" w:rsidRPr="00000000">
              <w:rPr>
                <w:rFonts w:ascii="Arial" w:cs="Arial" w:eastAsia="Arial" w:hAnsi="Arial"/>
                <w:b w:val="1"/>
                <w:bCs w:val="1"/>
                <w:color w:val="374151"/>
                <w:sz w:val="21"/>
                <w:szCs w:val="21"/>
                <w:rtl w:val="0"/>
              </w:rPr>
              <w:t xml:space="preserve">2021</w:t>
            </w:r>
            <w:r w:rsidDel="00000000" w:rsidR="00000000" w:rsidRPr="00000000">
              <w:rPr>
                <w:rtl w:val="0"/>
              </w:rPr>
            </w:r>
          </w:p>
        </w:tc>
        <w:tc>
          <w:tcPr/>
          <w:p w:rsidR="00000000" w:rsidDel="00000000" w:rsidP="00000000" w:rsidRDefault="00000000" w:rsidRPr="00000000" w14:paraId="00000174">
            <w:pPr>
              <w:spacing w:before="240" w:lineRule="auto"/>
              <w:rPr>
                <w:rFonts w:ascii="Times New Roman" w:cs="Times New Roman" w:eastAsia="Times New Roman" w:hAnsi="Times New Roman"/>
              </w:rPr>
            </w:pPr>
            <w:hyperlink r:id="rId53">
              <w:r w:rsidDel="00000000" w:rsidR="00000000" w:rsidRPr="00000000">
                <w:rPr>
                  <w:rFonts w:ascii="Arial" w:cs="Arial" w:eastAsia="Arial" w:hAnsi="Arial"/>
                  <w:color w:val="0563c1"/>
                  <w:sz w:val="21"/>
                  <w:szCs w:val="21"/>
                  <w:u w:val="single"/>
                  <w:rtl w:val="0"/>
                </w:rPr>
                <w:t xml:space="preserve">29 ottobre 2021, n. 25</w:t>
              </w:r>
            </w:hyperlink>
            <w:r w:rsidDel="00000000" w:rsidR="00000000" w:rsidRPr="00000000">
              <w:rPr>
                <w:rtl w:val="0"/>
              </w:rPr>
            </w:r>
          </w:p>
        </w:tc>
        <w:tc>
          <w:tcPr/>
          <w:p w:rsidR="00000000" w:rsidDel="00000000" w:rsidP="00000000" w:rsidRDefault="00000000" w:rsidRPr="00000000" w14:paraId="00000175">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Rilevazione periodica avvisi, bandi e altre procedure di attivazione degli investimenti.</w:t>
            </w:r>
          </w:p>
        </w:tc>
        <w:tc>
          <w:tcPr/>
          <w:p w:rsidR="00000000" w:rsidDel="00000000" w:rsidP="00000000" w:rsidRDefault="00000000" w:rsidRPr="00000000" w14:paraId="00000176">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È stata attivata nel portale "Italia Domani" una nuova sezione dedicata ai bandi ed avvisi pubblici ed altre procedure di attivazione degli investimenti, emanate dalle Amministrazioni centrali titolari degli interventi per la selezione dei progetti da finanziare attraverso il PNRR e/o l’individuazione di beneficiari e soggetti attuatori. Al fine di arricchire i contenuti del portale, le richiamate Amministrazioni sono pertanto invitate a trasmettere le informazioni indicate in circolare.</w:t>
            </w:r>
            <w:r w:rsidDel="00000000" w:rsidR="00000000" w:rsidRPr="00000000">
              <w:rPr>
                <w:rtl w:val="0"/>
              </w:rPr>
            </w:r>
          </w:p>
        </w:tc>
        <w:tc>
          <w:tcPr/>
          <w:p w:rsidR="00000000" w:rsidDel="00000000" w:rsidP="00000000" w:rsidRDefault="00000000" w:rsidRPr="00000000" w14:paraId="00000177">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c>
          <w:tcPr/>
          <w:p w:rsidR="00000000" w:rsidDel="00000000" w:rsidP="00000000" w:rsidRDefault="00000000" w:rsidRPr="00000000" w14:paraId="00000178">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r>
      <w:tr>
        <w:trPr>
          <w:cantSplit w:val="0"/>
          <w:tblHeader w:val="0"/>
        </w:trPr>
        <w:tc>
          <w:tcPr/>
          <w:p w:rsidR="00000000" w:rsidDel="00000000" w:rsidP="00000000" w:rsidRDefault="00000000" w:rsidRPr="00000000" w14:paraId="00000179">
            <w:pPr>
              <w:spacing w:before="240" w:lineRule="auto"/>
              <w:rPr>
                <w:rFonts w:ascii="Times New Roman" w:cs="Times New Roman" w:eastAsia="Times New Roman" w:hAnsi="Times New Roman"/>
              </w:rPr>
            </w:pPr>
            <w:r w:rsidDel="00000000" w:rsidR="00000000" w:rsidRPr="00000000">
              <w:rPr>
                <w:rFonts w:ascii="Arial" w:cs="Arial" w:eastAsia="Arial" w:hAnsi="Arial"/>
                <w:b w:val="1"/>
                <w:bCs w:val="1"/>
                <w:color w:val="374151"/>
                <w:sz w:val="21"/>
                <w:szCs w:val="21"/>
                <w:rtl w:val="0"/>
              </w:rPr>
              <w:t xml:space="preserve">2021</w:t>
            </w:r>
            <w:r w:rsidDel="00000000" w:rsidR="00000000" w:rsidRPr="00000000">
              <w:rPr>
                <w:rtl w:val="0"/>
              </w:rPr>
            </w:r>
          </w:p>
        </w:tc>
        <w:tc>
          <w:tcPr/>
          <w:p w:rsidR="00000000" w:rsidDel="00000000" w:rsidP="00000000" w:rsidRDefault="00000000" w:rsidRPr="00000000" w14:paraId="0000017A">
            <w:pPr>
              <w:spacing w:before="240" w:lineRule="auto"/>
              <w:rPr>
                <w:rFonts w:ascii="Times New Roman" w:cs="Times New Roman" w:eastAsia="Times New Roman" w:hAnsi="Times New Roman"/>
              </w:rPr>
            </w:pPr>
            <w:hyperlink r:id="rId54">
              <w:r w:rsidDel="00000000" w:rsidR="00000000" w:rsidRPr="00000000">
                <w:rPr>
                  <w:rFonts w:ascii="Arial" w:cs="Arial" w:eastAsia="Arial" w:hAnsi="Arial"/>
                  <w:color w:val="0563c1"/>
                  <w:sz w:val="21"/>
                  <w:szCs w:val="21"/>
                  <w:u w:val="single"/>
                  <w:rtl w:val="0"/>
                </w:rPr>
                <w:t xml:space="preserve">14 ottobre 2021, n. 21</w:t>
              </w:r>
            </w:hyperlink>
            <w:r w:rsidDel="00000000" w:rsidR="00000000" w:rsidRPr="00000000">
              <w:rPr>
                <w:rtl w:val="0"/>
              </w:rPr>
            </w:r>
          </w:p>
        </w:tc>
        <w:tc>
          <w:tcPr/>
          <w:p w:rsidR="00000000" w:rsidDel="00000000" w:rsidP="00000000" w:rsidRDefault="00000000" w:rsidRPr="00000000" w14:paraId="0000017B">
            <w:pPr>
              <w:spacing w:after="260" w:before="0" w:line="264" w:lineRule="auto"/>
              <w:rPr>
                <w:rFonts w:ascii="Arial" w:cs="Arial" w:eastAsia="Arial" w:hAnsi="Arial"/>
                <w:color w:val="374151"/>
                <w:sz w:val="21"/>
                <w:szCs w:val="21"/>
              </w:rPr>
            </w:pPr>
            <w:r w:rsidDel="00000000" w:rsidR="00000000" w:rsidRPr="00000000">
              <w:rPr>
                <w:rFonts w:ascii="Arial" w:cs="Arial" w:eastAsia="Arial" w:hAnsi="Arial"/>
                <w:color w:val="374151"/>
                <w:sz w:val="21"/>
                <w:szCs w:val="21"/>
                <w:rtl w:val="0"/>
              </w:rPr>
              <w:t xml:space="preserve">PNRR - Trasmissione delle Istruzioni Tecniche per la selezione dei progetti PNRR</w:t>
            </w:r>
          </w:p>
        </w:tc>
        <w:tc>
          <w:tcPr/>
          <w:p w:rsidR="00000000" w:rsidDel="00000000" w:rsidP="00000000" w:rsidRDefault="00000000" w:rsidRPr="00000000" w14:paraId="0000017C">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Al fine di supportare le Amministrazioni centrali titolari di interventi previsti nel PNRR nelle attività di presidio e vigilanza nell’esecuzione dei progetti/interventi di competenza che compongono le misure del Piano e di fornire indicazioni comuni a livello nazionale, sono state predisposte le “Istruzioni tecniche per la selezione dei progetti PNRR”. Il documento detta regole e principi a cui le richiamate Amministrazioni sono invitate ad attenersi, finalizzati a: </w:t>
            </w:r>
            <w:r w:rsidDel="00000000" w:rsidR="00000000" w:rsidRPr="00000000">
              <w:rPr>
                <w:rtl w:val="0"/>
              </w:rPr>
            </w:r>
          </w:p>
          <w:p w:rsidR="00000000" w:rsidDel="00000000" w:rsidP="00000000" w:rsidRDefault="00000000" w:rsidRPr="00000000" w14:paraId="0000017D">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individuare requisiti di ammissibilità ed eventuali cause di esclusione, attribuibili al Soggetto attuatore e/o alla proposta progettuale, il cui mancato soddisfacimento può comportare una criticità con impatto sul processo di attuazione dell’iniziativa, nonché in fase di controllo e rendicontazione della stessa;</w:t>
            </w:r>
            <w:r w:rsidDel="00000000" w:rsidR="00000000" w:rsidRPr="00000000">
              <w:rPr>
                <w:rtl w:val="0"/>
              </w:rPr>
            </w:r>
          </w:p>
          <w:p w:rsidR="00000000" w:rsidDel="00000000" w:rsidP="00000000" w:rsidRDefault="00000000" w:rsidRPr="00000000" w14:paraId="0000017E">
            <w:pPr>
              <w:spacing w:before="240" w:lineRule="auto"/>
              <w:rPr>
                <w:rFonts w:ascii="Times New Roman" w:cs="Times New Roman" w:eastAsia="Times New Roman" w:hAnsi="Times New Roman"/>
              </w:rPr>
            </w:pPr>
            <w:r w:rsidDel="00000000" w:rsidR="00000000" w:rsidRPr="00000000">
              <w:rPr>
                <w:rFonts w:ascii="Arial" w:cs="Arial" w:eastAsia="Arial" w:hAnsi="Arial"/>
                <w:color w:val="374151"/>
                <w:sz w:val="21"/>
                <w:szCs w:val="21"/>
                <w:rtl w:val="0"/>
              </w:rPr>
              <w:t xml:space="preserve">fornire elementi utili sui processi di attuazione che potranno essere ripresi nelle apposite sezioni delle procedure di selezione dei progetti (ossia negli atti amministrativi di varia natura, tra cui decreti ministeriali e bandi).</w:t>
            </w:r>
            <w:r w:rsidDel="00000000" w:rsidR="00000000" w:rsidRPr="00000000">
              <w:rPr>
                <w:rtl w:val="0"/>
              </w:rPr>
            </w:r>
          </w:p>
        </w:tc>
        <w:tc>
          <w:tcPr/>
          <w:p w:rsidR="00000000" w:rsidDel="00000000" w:rsidP="00000000" w:rsidRDefault="00000000" w:rsidRPr="00000000" w14:paraId="0000017F">
            <w:pPr>
              <w:spacing w:before="240" w:lineRule="auto"/>
              <w:rPr>
                <w:rFonts w:ascii="Arial" w:cs="Arial" w:eastAsia="Arial" w:hAnsi="Arial"/>
                <w:color w:val="374151"/>
                <w:sz w:val="21"/>
                <w:szCs w:val="21"/>
              </w:rPr>
            </w:pPr>
            <w:r w:rsidDel="00000000" w:rsidR="00000000" w:rsidRPr="00000000">
              <w:rPr>
                <w:rtl w:val="0"/>
              </w:rPr>
              <w:t xml:space="preserve">Nessuna</w:t>
            </w:r>
            <w:r w:rsidDel="00000000" w:rsidR="00000000" w:rsidRPr="00000000">
              <w:rPr>
                <w:rtl w:val="0"/>
              </w:rPr>
            </w:r>
          </w:p>
        </w:tc>
        <w:tc>
          <w:tcPr/>
          <w:p w:rsidR="00000000" w:rsidDel="00000000" w:rsidP="00000000" w:rsidRDefault="00000000" w:rsidRPr="00000000" w14:paraId="00000180">
            <w:pPr>
              <w:spacing w:before="240" w:lineRule="auto"/>
              <w:rPr>
                <w:rFonts w:ascii="Arial" w:cs="Arial" w:eastAsia="Arial" w:hAnsi="Arial"/>
                <w:color w:val="374151"/>
                <w:sz w:val="21"/>
                <w:szCs w:val="21"/>
              </w:rPr>
            </w:pPr>
            <w:r w:rsidDel="00000000" w:rsidR="00000000" w:rsidRPr="00000000">
              <w:rPr>
                <w:rtl w:val="0"/>
              </w:rPr>
              <w:t xml:space="preserve">Circolare n. 33 del 31 dicembre 2021 e n.30 del 11 agosto 2022</w:t>
            </w:r>
            <w:r w:rsidDel="00000000" w:rsidR="00000000" w:rsidRPr="00000000">
              <w:rPr>
                <w:rtl w:val="0"/>
              </w:rPr>
            </w:r>
          </w:p>
        </w:tc>
      </w:tr>
    </w:tbl>
    <w:p w:rsidR="00000000" w:rsidDel="00000000" w:rsidP="00000000" w:rsidRDefault="00000000" w:rsidRPr="00000000" w14:paraId="00000181">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182">
      <w:pPr>
        <w:spacing w:after="200" w:before="0" w:line="276" w:lineRule="auto"/>
        <w:rPr>
          <w:sz w:val="22"/>
          <w:szCs w:val="22"/>
        </w:rPr>
      </w:pPr>
      <w:r w:rsidDel="00000000" w:rsidR="00000000" w:rsidRPr="00000000">
        <w:rPr>
          <w:rtl w:val="0"/>
        </w:rPr>
      </w:r>
    </w:p>
    <w:sectPr>
      <w:headerReference r:id="rId55" w:type="default"/>
      <w:footerReference r:id="rId56"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drawing>
        <wp:inline distB="0" distT="0" distL="0" distR="0">
          <wp:extent cx="838200" cy="318355"/>
          <wp:effectExtent b="0" l="0" r="0" t="0"/>
          <wp:docPr descr="C:\Users\feder\AppData\Local\Microsoft\Windows\INetCache\Content.Word\060d56fc5aebdf9be0debdc6a991a366-logo-easy-colore.png" id="2" name="image2.png"/>
          <a:graphic>
            <a:graphicData uri="http://schemas.openxmlformats.org/drawingml/2006/picture">
              <pic:pic>
                <pic:nvPicPr>
                  <pic:cNvPr descr="C:\Users\feder\AppData\Local\Microsoft\Windows\INetCache\Content.Word\060d56fc5aebdf9be0debdc6a991a366-logo-easy-colore.png" id="0" name="image2.png"/>
                  <pic:cNvPicPr preferRelativeResize="0"/>
                </pic:nvPicPr>
                <pic:blipFill>
                  <a:blip r:embed="rId1"/>
                  <a:srcRect b="0" l="0" r="0" t="0"/>
                  <a:stretch>
                    <a:fillRect/>
                  </a:stretch>
                </pic:blipFill>
                <pic:spPr>
                  <a:xfrm>
                    <a:off x="0" y="0"/>
                    <a:ext cx="838200" cy="31835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drawing>
        <wp:inline distB="0" distT="0" distL="0" distR="0">
          <wp:extent cx="2862263" cy="790575"/>
          <wp:effectExtent b="0" l="0" r="0" t="0"/>
          <wp:docPr descr="C:\Users\feder\AppData\Local\Microsoft\Windows\INetCache\Content.Word\banner istituzioni.png" id="1" name="image1.png"/>
          <a:graphic>
            <a:graphicData uri="http://schemas.openxmlformats.org/drawingml/2006/picture">
              <pic:pic>
                <pic:nvPicPr>
                  <pic:cNvPr descr="C:\Users\feder\AppData\Local\Microsoft\Windows\INetCache\Content.Word\banner istituzioni.png" id="0" name="image1.png"/>
                  <pic:cNvPicPr preferRelativeResize="0"/>
                </pic:nvPicPr>
                <pic:blipFill>
                  <a:blip r:embed="rId1"/>
                  <a:srcRect b="0" l="34532" r="0" t="19416"/>
                  <a:stretch>
                    <a:fillRect/>
                  </a:stretch>
                </pic:blipFill>
                <pic:spPr>
                  <a:xfrm>
                    <a:off x="0" y="0"/>
                    <a:ext cx="2862263" cy="790575"/>
                  </a:xfrm>
                  <a:prstGeom prst="rect"/>
                  <a:ln/>
                </pic:spPr>
              </pic:pic>
            </a:graphicData>
          </a:graphic>
        </wp:inline>
      </w:drawing>
    </w:r>
    <w:r w:rsidDel="00000000" w:rsidR="00000000" w:rsidRPr="00000000">
      <w:rPr>
        <w:rtl w:val="0"/>
      </w:rPr>
    </w:r>
  </w:p>
  <w:tbl>
    <w:tblPr>
      <w:tblStyle w:val="Table2"/>
      <w:tblW w:w="129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749"/>
      <w:gridCol w:w="1083"/>
      <w:gridCol w:w="1879"/>
      <w:gridCol w:w="6674"/>
      <w:gridCol w:w="1193"/>
      <w:gridCol w:w="1372"/>
      <w:tblGridChange w:id="0">
        <w:tblGrid>
          <w:gridCol w:w="749"/>
          <w:gridCol w:w="1083"/>
          <w:gridCol w:w="1879"/>
          <w:gridCol w:w="6674"/>
          <w:gridCol w:w="1193"/>
          <w:gridCol w:w="1372"/>
        </w:tblGrid>
      </w:tblGridChange>
    </w:tblGrid>
    <w:tr>
      <w:trPr>
        <w:cantSplit w:val="0"/>
        <w:trHeight w:val="904" w:hRule="atLeast"/>
        <w:tblHeader w:val="0"/>
      </w:trPr>
      <w:tc>
        <w:tcPr>
          <w:shd w:fill="c6d9f1" w:val="clear"/>
        </w:tcPr>
        <w:p w:rsidR="00000000" w:rsidDel="00000000" w:rsidP="00000000" w:rsidRDefault="00000000" w:rsidRPr="00000000" w14:paraId="00000184">
          <w:pPr>
            <w:pBdr>
              <w:top w:space="0" w:sz="0" w:val="nil"/>
              <w:left w:space="0" w:sz="0" w:val="nil"/>
              <w:bottom w:space="0" w:sz="0" w:val="nil"/>
              <w:right w:space="0" w:sz="0" w:val="nil"/>
              <w:between w:space="0" w:sz="0" w:val="nil"/>
            </w:pBdr>
            <w:spacing w:before="0" w:lineRule="auto"/>
            <w:rPr>
              <w:b w:val="1"/>
              <w:bCs w:val="1"/>
            </w:rPr>
          </w:pPr>
          <w:r w:rsidDel="00000000" w:rsidR="00000000" w:rsidRPr="00000000">
            <w:rPr>
              <w:b w:val="1"/>
              <w:bCs w:val="1"/>
              <w:rtl w:val="0"/>
            </w:rPr>
            <w:t xml:space="preserve">Anno</w:t>
          </w:r>
        </w:p>
      </w:tc>
      <w:tc>
        <w:tcPr>
          <w:shd w:fill="c6d9f1" w:val="clear"/>
        </w:tcPr>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260" w:before="0" w:line="264" w:lineRule="auto"/>
            <w:rPr>
              <w:b w:val="1"/>
              <w:bCs w:val="1"/>
            </w:rPr>
          </w:pPr>
          <w:r w:rsidDel="00000000" w:rsidR="00000000" w:rsidRPr="00000000">
            <w:rPr>
              <w:b w:val="1"/>
              <w:bCs w:val="1"/>
              <w:rtl w:val="0"/>
            </w:rPr>
            <w:t xml:space="preserve">Data e Numero</w:t>
          </w:r>
        </w:p>
      </w:tc>
      <w:tc>
        <w:tcPr>
          <w:shd w:fill="c6d9f1" w:val="clear"/>
        </w:tcPr>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260" w:before="0" w:line="264" w:lineRule="auto"/>
            <w:rPr>
              <w:b w:val="1"/>
              <w:bCs w:val="1"/>
            </w:rPr>
          </w:pPr>
          <w:r w:rsidDel="00000000" w:rsidR="00000000" w:rsidRPr="00000000">
            <w:rPr>
              <w:b w:val="1"/>
              <w:bCs w:val="1"/>
              <w:rtl w:val="0"/>
            </w:rPr>
            <w:t xml:space="preserve">Oggetto</w:t>
          </w:r>
        </w:p>
      </w:tc>
      <w:tc>
        <w:tcPr>
          <w:shd w:fill="c6d9f1" w:val="clear"/>
        </w:tcPr>
        <w:p w:rsidR="00000000" w:rsidDel="00000000" w:rsidP="00000000" w:rsidRDefault="00000000" w:rsidRPr="00000000" w14:paraId="00000187">
          <w:pPr>
            <w:spacing w:after="260" w:before="0" w:line="264" w:lineRule="auto"/>
            <w:rPr>
              <w:b w:val="1"/>
              <w:bCs w:val="1"/>
              <w:color w:val="366091"/>
            </w:rPr>
          </w:pPr>
          <w:r w:rsidDel="00000000" w:rsidR="00000000" w:rsidRPr="00000000">
            <w:rPr>
              <w:b w:val="1"/>
              <w:bCs w:val="1"/>
              <w:rtl w:val="0"/>
            </w:rPr>
            <w:t xml:space="preserve">Contenuti</w:t>
          </w:r>
          <w:r w:rsidDel="00000000" w:rsidR="00000000" w:rsidRPr="00000000">
            <w:rPr>
              <w:rtl w:val="0"/>
            </w:rPr>
          </w:r>
        </w:p>
      </w:tc>
      <w:tc>
        <w:tcPr>
          <w:shd w:fill="c6d9f1" w:val="clear"/>
        </w:tcPr>
        <w:p w:rsidR="00000000" w:rsidDel="00000000" w:rsidP="00000000" w:rsidRDefault="00000000" w:rsidRPr="00000000" w14:paraId="00000188">
          <w:pPr>
            <w:spacing w:before="0" w:lineRule="auto"/>
            <w:rPr>
              <w:b w:val="1"/>
              <w:bCs w:val="1"/>
            </w:rPr>
          </w:pPr>
          <w:r w:rsidDel="00000000" w:rsidR="00000000" w:rsidRPr="00000000">
            <w:rPr>
              <w:b w:val="1"/>
              <w:bCs w:val="1"/>
              <w:rtl w:val="0"/>
            </w:rPr>
            <w:t xml:space="preserve">Circolare che aggiorna</w:t>
          </w:r>
        </w:p>
      </w:tc>
      <w:tc>
        <w:tcPr>
          <w:shd w:fill="c6d9f1" w:val="clear"/>
        </w:tcPr>
        <w:p w:rsidR="00000000" w:rsidDel="00000000" w:rsidP="00000000" w:rsidRDefault="00000000" w:rsidRPr="00000000" w14:paraId="00000189">
          <w:pPr>
            <w:spacing w:before="0" w:lineRule="auto"/>
            <w:rPr>
              <w:b w:val="1"/>
              <w:bCs w:val="1"/>
            </w:rPr>
          </w:pPr>
          <w:r w:rsidDel="00000000" w:rsidR="00000000" w:rsidRPr="00000000">
            <w:rPr>
              <w:b w:val="1"/>
              <w:bCs w:val="1"/>
              <w:rtl w:val="0"/>
            </w:rPr>
            <w:t xml:space="preserve">Circolare aggiornata da</w:t>
          </w:r>
        </w:p>
      </w:tc>
    </w:tr>
  </w:tbl>
  <w:p w:rsidR="00000000" w:rsidDel="00000000" w:rsidP="00000000" w:rsidRDefault="00000000" w:rsidRPr="00000000" w14:paraId="0000018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spacing w:after="120" w:before="120"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before="480" w:lineRule="auto"/>
    </w:pPr>
    <w:rPr>
      <w:b w:val="1"/>
      <w:bCs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36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rgs.mef.gov.it/VERSIONE-I/circolari/2022/circolare_n_30_2022/" TargetMode="External"/><Relationship Id="rId42" Type="http://schemas.openxmlformats.org/officeDocument/2006/relationships/hyperlink" Target="https://www.rgs.mef.gov.it/VERSIONE-I/circolari/2022/circolare_n_28_2022/" TargetMode="External"/><Relationship Id="rId41" Type="http://schemas.openxmlformats.org/officeDocument/2006/relationships/hyperlink" Target="https://www.rgs.mef.gov.it/VERSIONE-I/circolari/2022/circolare_n_29_2022/" TargetMode="External"/><Relationship Id="rId44" Type="http://schemas.openxmlformats.org/officeDocument/2006/relationships/hyperlink" Target="https://www.rgs.mef.gov.it/VERSIONE-I/circolari/2022/circolare_n_27_2022/" TargetMode="External"/><Relationship Id="rId43" Type="http://schemas.openxmlformats.org/officeDocument/2006/relationships/hyperlink" Target="https://www.rgs.mef.gov.it/VERSIONE-I/circolari/2023/circolare_n_01_2023/" TargetMode="External"/><Relationship Id="rId46" Type="http://schemas.openxmlformats.org/officeDocument/2006/relationships/hyperlink" Target="https://www.rgs.mef.gov.it/VERSIONE-I/circolari/2022/circolare_n_21_2022/" TargetMode="External"/><Relationship Id="rId45" Type="http://schemas.openxmlformats.org/officeDocument/2006/relationships/hyperlink" Target="https://www.rgs.mef.gov.it/VERSIONE-I/circolari/2022/circolare_n_26_202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gs.mef.gov.it/VERSIONE-I/circolari/2024/circolare_n_35_2024/" TargetMode="External"/><Relationship Id="rId48" Type="http://schemas.openxmlformats.org/officeDocument/2006/relationships/hyperlink" Target="https://www.rgs.mef.gov.it/VERSIONE-I/circolari/2022/circolare_n_06_2022/" TargetMode="External"/><Relationship Id="rId47" Type="http://schemas.openxmlformats.org/officeDocument/2006/relationships/hyperlink" Target="https://www.rgs.mef.gov.it/VERSIONE-I/circolari/2022/circolare_n_09_2022/" TargetMode="External"/><Relationship Id="rId49" Type="http://schemas.openxmlformats.org/officeDocument/2006/relationships/hyperlink" Target="https://www.rgs.mef.gov.it/VERSIONE-I/circolari/2022/circolare_n_04_2022/" TargetMode="External"/><Relationship Id="rId5" Type="http://schemas.openxmlformats.org/officeDocument/2006/relationships/styles" Target="styles.xml"/><Relationship Id="rId6" Type="http://schemas.openxmlformats.org/officeDocument/2006/relationships/hyperlink" Target="https://www.rgs.mef.gov.it/_Documenti/VERSIONE-I/CIRCOLARI/2025/22/Circolare-del-19-settembre-2025-n-22.pdf" TargetMode="External"/><Relationship Id="rId7" Type="http://schemas.openxmlformats.org/officeDocument/2006/relationships/hyperlink" Target="https://www.rgs.mef.gov.it/VERSIONE-I/circolari/2025/circolare_n_01_2025/" TargetMode="External"/><Relationship Id="rId8" Type="http://schemas.openxmlformats.org/officeDocument/2006/relationships/hyperlink" Target="https://www.rgs.mef.gov.it/VERSIONE-I/circolari/2024/circolare_n_36_2024/" TargetMode="External"/><Relationship Id="rId31" Type="http://schemas.openxmlformats.org/officeDocument/2006/relationships/hyperlink" Target="https://www.rgs.mef.gov.it/VERSIONE-I/circolari/2023/circolare_n_01_2023/" TargetMode="External"/><Relationship Id="rId30" Type="http://schemas.openxmlformats.org/officeDocument/2006/relationships/hyperlink" Target="https://www.rgs.mef.gov.it/VERSIONE-I/circolari/2023/circolare_n_10_2023/" TargetMode="External"/><Relationship Id="rId33" Type="http://schemas.openxmlformats.org/officeDocument/2006/relationships/hyperlink" Target="https://www.rgs.mef.gov.it/VERSIONE-I/circolari/2022/circolare_n_41_2022/" TargetMode="External"/><Relationship Id="rId32" Type="http://schemas.openxmlformats.org/officeDocument/2006/relationships/hyperlink" Target="https://www.rgs.mef.gov.it/VERSIONE-I/circolari/2022/circolare_n_43_2022/" TargetMode="External"/><Relationship Id="rId35" Type="http://schemas.openxmlformats.org/officeDocument/2006/relationships/hyperlink" Target="https://www.rgs.mef.gov.it/VERSIONE-I/circolari/2022/circolare_n_37_2022/" TargetMode="External"/><Relationship Id="rId34" Type="http://schemas.openxmlformats.org/officeDocument/2006/relationships/hyperlink" Target="https://www.rgs.mef.gov.it/_Documenti/VERSIONE-I/CIRCOLARI/2022/40/Circolare-del-5-dicembre-2022-n-40.pdf" TargetMode="External"/><Relationship Id="rId37" Type="http://schemas.openxmlformats.org/officeDocument/2006/relationships/hyperlink" Target="https://www.rgs.mef.gov.it/VERSIONE-I/circolari/2022/circolare_n_33_2022/" TargetMode="External"/><Relationship Id="rId36" Type="http://schemas.openxmlformats.org/officeDocument/2006/relationships/hyperlink" Target="https://www.rgs.mef.gov.it/VERSIONE-I/circolari/2022/circolare_n_34_2022/" TargetMode="External"/><Relationship Id="rId39" Type="http://schemas.openxmlformats.org/officeDocument/2006/relationships/hyperlink" Target="https://www.rgs.mef.gov.it/_Documenti/VERSIONE-I/CIRCOLARI/2022/31/Circolare-del-21-settembre-2022-n.31.pdf" TargetMode="External"/><Relationship Id="rId38" Type="http://schemas.openxmlformats.org/officeDocument/2006/relationships/hyperlink" Target="https://www.rgs.mef.gov.it/VERSIONE-I/circolari/2022/circolare_n_32_2022/" TargetMode="External"/><Relationship Id="rId20" Type="http://schemas.openxmlformats.org/officeDocument/2006/relationships/hyperlink" Target="https://www.rgs.mef.gov.it/_Documenti/VERSIONE-I/CIRCOLARI/2023/35/Circolare-del-22-dicembre-2023-n-35.pdf" TargetMode="External"/><Relationship Id="rId22" Type="http://schemas.openxmlformats.org/officeDocument/2006/relationships/hyperlink" Target="https://www.rgs.mef.gov.it/VERSIONE-I/circolari/2023/circolare_n_32_2023/" TargetMode="External"/><Relationship Id="rId21" Type="http://schemas.openxmlformats.org/officeDocument/2006/relationships/hyperlink" Target="https://www.rgs.mef.gov.it/_Documenti/VERSIONE-I/CIRCOLARI/2023/33/Circolare-del-7-dicembre-2023-n.-33.pdf" TargetMode="External"/><Relationship Id="rId24" Type="http://schemas.openxmlformats.org/officeDocument/2006/relationships/hyperlink" Target="https://www.rgs.mef.gov.it/VERSIONE-I/circolari/2023/circolare_n_27_2023/" TargetMode="External"/><Relationship Id="rId23" Type="http://schemas.openxmlformats.org/officeDocument/2006/relationships/hyperlink" Target="https://www.rgs.mef.gov.it/VERSIONE-I/circolari/2023/circolare_n_31_2023/index.html" TargetMode="External"/><Relationship Id="rId26" Type="http://schemas.openxmlformats.org/officeDocument/2006/relationships/hyperlink" Target="https://www.rgs.mef.gov.it/VERSIONE-I/circolari/2023/#:~:text=Circolare%20dell%278%20agosto%202023%2C%20n.%2026" TargetMode="External"/><Relationship Id="rId25" Type="http://schemas.openxmlformats.org/officeDocument/2006/relationships/hyperlink" Target="https://www.rgs.mef.gov.it/VERSIONE-I/circolari/2023/circolare_n_26_2023/index.html" TargetMode="External"/><Relationship Id="rId28" Type="http://schemas.openxmlformats.org/officeDocument/2006/relationships/hyperlink" Target="https://www.rgs.mef.gov.it/VERSIONE-I/circolari/2023/circolare_n_16_2023/" TargetMode="External"/><Relationship Id="rId27" Type="http://schemas.openxmlformats.org/officeDocument/2006/relationships/hyperlink" Target="https://www.rgs.mef.gov.it/VERSIONE-I/circolari/2023/circolare_n_19_2023/" TargetMode="External"/><Relationship Id="rId29" Type="http://schemas.openxmlformats.org/officeDocument/2006/relationships/hyperlink" Target="https://www.rgs.mef.gov.it/VERSIONE-I/circolari/2023/circolare_n_11_2023/" TargetMode="External"/><Relationship Id="rId51" Type="http://schemas.openxmlformats.org/officeDocument/2006/relationships/hyperlink" Target="https://www.rgs.mef.gov.it/VERSIONE-I/circolari/2021/circolare_n_32_2021/index.html" TargetMode="External"/><Relationship Id="rId50" Type="http://schemas.openxmlformats.org/officeDocument/2006/relationships/hyperlink" Target="https://www.rgs.mef.gov.it/VERSIONE-I/circolari/2021/circolare_n_33_2021/index.html" TargetMode="External"/><Relationship Id="rId53" Type="http://schemas.openxmlformats.org/officeDocument/2006/relationships/hyperlink" Target="https://www.rgs.mef.gov.it/VERSIONE-I/circolari/2021/circolare_n_25_2021/" TargetMode="External"/><Relationship Id="rId52" Type="http://schemas.openxmlformats.org/officeDocument/2006/relationships/hyperlink" Target="https://www.rgs.mef.gov.it/VERSIONE-I/circolari/2021/circolare_n_31_2021/" TargetMode="External"/><Relationship Id="rId11" Type="http://schemas.openxmlformats.org/officeDocument/2006/relationships/hyperlink" Target="https://www.rgs.mef.gov.it/VERSIONE-I/circolari/2024/circolare_n_29_2024/" TargetMode="External"/><Relationship Id="rId55" Type="http://schemas.openxmlformats.org/officeDocument/2006/relationships/header" Target="header1.xml"/><Relationship Id="rId10" Type="http://schemas.openxmlformats.org/officeDocument/2006/relationships/hyperlink" Target="https://www.rgs.mef.gov.it/VERSIONE-I/circolari/2024/circolare_n_33_2024/" TargetMode="External"/><Relationship Id="rId54" Type="http://schemas.openxmlformats.org/officeDocument/2006/relationships/hyperlink" Target="https://www.rgs.mef.gov.it/VERSIONE-I/circolari/2021/circolare_n_21_2021/" TargetMode="External"/><Relationship Id="rId13" Type="http://schemas.openxmlformats.org/officeDocument/2006/relationships/hyperlink" Target="https://www.rgs.mef.gov.it/VERSIONE-I/circolari/2024/circolare_n_22_2024/" TargetMode="External"/><Relationship Id="rId12" Type="http://schemas.openxmlformats.org/officeDocument/2006/relationships/hyperlink" Target="https://www.rgs.mef.gov.it/VERSIONE-I/circolari/2024/circolare_n_27_2024/" TargetMode="External"/><Relationship Id="rId56" Type="http://schemas.openxmlformats.org/officeDocument/2006/relationships/footer" Target="footer1.xml"/><Relationship Id="rId15" Type="http://schemas.openxmlformats.org/officeDocument/2006/relationships/hyperlink" Target="https://www.rgs.mef.gov.it/VERSIONE-I/circolari/2024/circolare_n_17_2024/" TargetMode="External"/><Relationship Id="rId14" Type="http://schemas.openxmlformats.org/officeDocument/2006/relationships/hyperlink" Target="https://www.rgs.mef.gov.it/VERSIONE-I/news/Ispettorati/2024/news_13_maggio_2024/index.html" TargetMode="External"/><Relationship Id="rId17" Type="http://schemas.openxmlformats.org/officeDocument/2006/relationships/hyperlink" Target="https://www.rgs.mef.gov.it/VERSIONE-I/circolari/2024/circolare_n_10_2024/" TargetMode="External"/><Relationship Id="rId16" Type="http://schemas.openxmlformats.org/officeDocument/2006/relationships/hyperlink" Target="https://www.rgs.mef.gov.it/VERSIONE-I/circolari/2024/circolare_n_13_2024/" TargetMode="External"/><Relationship Id="rId19" Type="http://schemas.openxmlformats.org/officeDocument/2006/relationships/hyperlink" Target="https://www.rgs.mef.gov.it/VERSIONE-I/circolari/2024/circolare_n_02_2024/" TargetMode="External"/><Relationship Id="rId18" Type="http://schemas.openxmlformats.org/officeDocument/2006/relationships/hyperlink" Target="https://www.rgs.mef.gov.it/VERSIONE-I/circolari/2024/circolare_n_08_202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